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72AF" w14:textId="40B17C38" w:rsidR="00555B03" w:rsidRPr="008644E6" w:rsidRDefault="002F6EF8" w:rsidP="008644E6">
      <w:pPr>
        <w:pStyle w:val="Heading1"/>
      </w:pPr>
      <w:r>
        <w:t>Plan Management: Payment of Invoices</w:t>
      </w:r>
      <w:r w:rsidR="006D25A3">
        <w:t xml:space="preserve"> Policy</w:t>
      </w:r>
    </w:p>
    <w:p w14:paraId="1C0C9299" w14:textId="77777777" w:rsidR="008F6F1C" w:rsidRDefault="008F6F1C" w:rsidP="008644E6">
      <w:pPr>
        <w:pStyle w:val="Heading2"/>
        <w:rPr>
          <w:rFonts w:ascii="Arial" w:hAnsi="Arial"/>
          <w:sz w:val="24"/>
          <w:szCs w:val="24"/>
        </w:rPr>
      </w:pPr>
    </w:p>
    <w:p w14:paraId="3B121248" w14:textId="7F548EFF" w:rsidR="00A57465" w:rsidRPr="009B78BC" w:rsidRDefault="00A57465" w:rsidP="00D7186E">
      <w:pPr>
        <w:pStyle w:val="Heading2"/>
        <w:rPr>
          <w:lang w:val="en-US"/>
        </w:rPr>
      </w:pPr>
      <w:r w:rsidRPr="00D2674E">
        <w:rPr>
          <w:lang w:val="en-US"/>
        </w:rPr>
        <w:t xml:space="preserve">Policy </w:t>
      </w:r>
    </w:p>
    <w:p w14:paraId="067648B1" w14:textId="5A2C502C" w:rsidR="002F6EF8" w:rsidRDefault="003E45C2" w:rsidP="003A342E">
      <w:pPr>
        <w:pStyle w:val="Heading2"/>
        <w:spacing w:before="120" w:line="276" w:lineRule="auto"/>
        <w:rPr>
          <w:rFonts w:ascii="Arial" w:eastAsia="Times New Roman" w:hAnsi="Arial" w:cs="Arial"/>
          <w:b w:val="0"/>
          <w:sz w:val="24"/>
          <w:szCs w:val="24"/>
          <w:lang w:eastAsia="en-AU"/>
        </w:rPr>
      </w:pPr>
      <w:r w:rsidRPr="001E4473">
        <w:rPr>
          <w:rFonts w:ascii="Arial" w:hAnsi="Arial" w:cs="Arial"/>
          <w:b w:val="0"/>
          <w:i/>
          <w:sz w:val="24"/>
          <w:szCs w:val="24"/>
          <w:lang w:val="en-US"/>
        </w:rPr>
        <w:t>f</w:t>
      </w:r>
      <w:r w:rsidR="00A57465" w:rsidRPr="001E4473">
        <w:rPr>
          <w:rFonts w:ascii="Arial" w:hAnsi="Arial" w:cs="Arial"/>
          <w:b w:val="0"/>
          <w:i/>
          <w:sz w:val="24"/>
          <w:szCs w:val="24"/>
          <w:lang w:val="en-US"/>
        </w:rPr>
        <w:t xml:space="preserve">utures in sight </w:t>
      </w:r>
      <w:r w:rsidR="006D25A3" w:rsidRPr="006D25A3">
        <w:rPr>
          <w:rFonts w:ascii="Arial" w:hAnsi="Arial" w:cs="Arial"/>
          <w:b w:val="0"/>
          <w:sz w:val="24"/>
          <w:szCs w:val="24"/>
          <w:lang w:val="en-US"/>
        </w:rPr>
        <w:t xml:space="preserve">is committed </w:t>
      </w:r>
      <w:r w:rsidR="006D25A3" w:rsidRPr="006D25A3">
        <w:rPr>
          <w:rFonts w:ascii="Arial" w:eastAsia="Times New Roman" w:hAnsi="Arial" w:cs="Arial"/>
          <w:b w:val="0"/>
          <w:sz w:val="24"/>
          <w:szCs w:val="24"/>
          <w:lang w:eastAsia="en-AU"/>
        </w:rPr>
        <w:t xml:space="preserve">to ensuring </w:t>
      </w:r>
      <w:r w:rsidR="002F6EF8">
        <w:rPr>
          <w:rFonts w:ascii="Arial" w:eastAsia="Times New Roman" w:hAnsi="Arial" w:cs="Arial"/>
          <w:b w:val="0"/>
          <w:sz w:val="24"/>
          <w:szCs w:val="24"/>
          <w:lang w:eastAsia="en-AU"/>
        </w:rPr>
        <w:t xml:space="preserve">people with disability receive </w:t>
      </w:r>
      <w:r w:rsidR="000D517E">
        <w:rPr>
          <w:rFonts w:ascii="Arial" w:eastAsia="Times New Roman" w:hAnsi="Arial" w:cs="Arial"/>
          <w:b w:val="0"/>
          <w:sz w:val="24"/>
          <w:szCs w:val="24"/>
          <w:lang w:eastAsia="en-AU"/>
        </w:rPr>
        <w:t xml:space="preserve">services which are </w:t>
      </w:r>
      <w:r w:rsidR="002F6EF8">
        <w:rPr>
          <w:rFonts w:ascii="Arial" w:eastAsia="Times New Roman" w:hAnsi="Arial" w:cs="Arial"/>
          <w:b w:val="0"/>
          <w:sz w:val="24"/>
          <w:szCs w:val="24"/>
          <w:lang w:eastAsia="en-AU"/>
        </w:rPr>
        <w:t xml:space="preserve">value for money. We are also committed to </w:t>
      </w:r>
      <w:r w:rsidR="000D517E">
        <w:rPr>
          <w:rFonts w:ascii="Arial" w:eastAsia="Times New Roman" w:hAnsi="Arial" w:cs="Arial"/>
          <w:b w:val="0"/>
          <w:sz w:val="24"/>
          <w:szCs w:val="24"/>
          <w:lang w:eastAsia="en-AU"/>
        </w:rPr>
        <w:t xml:space="preserve">support providers and their organisations </w:t>
      </w:r>
      <w:r w:rsidR="002F6EF8">
        <w:rPr>
          <w:rFonts w:ascii="Arial" w:eastAsia="Times New Roman" w:hAnsi="Arial" w:cs="Arial"/>
          <w:b w:val="0"/>
          <w:sz w:val="24"/>
          <w:szCs w:val="24"/>
          <w:lang w:eastAsia="en-AU"/>
        </w:rPr>
        <w:t>being paid for the services they provide in line with relevant legislation and guidelines.</w:t>
      </w:r>
    </w:p>
    <w:p w14:paraId="710C9E4B" w14:textId="77777777" w:rsidR="00D7186E" w:rsidRPr="00D7186E" w:rsidRDefault="00D7186E" w:rsidP="00D7186E">
      <w:pPr>
        <w:rPr>
          <w:lang w:eastAsia="en-AU"/>
        </w:rPr>
      </w:pPr>
    </w:p>
    <w:p w14:paraId="12811318" w14:textId="77777777" w:rsidR="002F6EF8" w:rsidRDefault="002F6EF8" w:rsidP="00D7186E">
      <w:pPr>
        <w:pStyle w:val="Heading2"/>
        <w:rPr>
          <w:lang w:val="en-US"/>
        </w:rPr>
      </w:pPr>
      <w:r w:rsidRPr="00D2674E">
        <w:rPr>
          <w:lang w:val="en-US"/>
        </w:rPr>
        <w:t>Scope</w:t>
      </w:r>
    </w:p>
    <w:p w14:paraId="7CC63D4E" w14:textId="77777777" w:rsidR="002F6EF8" w:rsidRPr="000234C3" w:rsidRDefault="002F6EF8" w:rsidP="003A342E">
      <w:pPr>
        <w:pStyle w:val="Heading2"/>
        <w:spacing w:before="120" w:line="276" w:lineRule="auto"/>
        <w:rPr>
          <w:rFonts w:ascii="Arial" w:hAnsi="Arial" w:cs="Arial"/>
          <w:b w:val="0"/>
          <w:color w:val="000000" w:themeColor="text1"/>
          <w:sz w:val="24"/>
          <w:szCs w:val="24"/>
        </w:rPr>
      </w:pPr>
      <w:r w:rsidRPr="000234C3">
        <w:rPr>
          <w:rFonts w:ascii="Arial" w:hAnsi="Arial" w:cs="Arial"/>
          <w:b w:val="0"/>
          <w:color w:val="000000" w:themeColor="text1"/>
          <w:sz w:val="24"/>
          <w:szCs w:val="24"/>
          <w:lang w:val="en"/>
        </w:rPr>
        <w:t xml:space="preserve">All </w:t>
      </w:r>
      <w:r w:rsidRPr="000234C3">
        <w:rPr>
          <w:rFonts w:ascii="Arial" w:hAnsi="Arial" w:cs="Arial"/>
          <w:b w:val="0"/>
          <w:color w:val="000000" w:themeColor="text1"/>
          <w:sz w:val="24"/>
          <w:szCs w:val="24"/>
        </w:rPr>
        <w:t>Partners, Advisory Panel members, Contractors and Volunteers</w:t>
      </w:r>
    </w:p>
    <w:p w14:paraId="5C2AE560" w14:textId="77777777" w:rsidR="002F6EF8" w:rsidRDefault="002F6EF8" w:rsidP="003A342E">
      <w:pPr>
        <w:pStyle w:val="Heading2"/>
        <w:spacing w:before="120" w:line="276" w:lineRule="auto"/>
        <w:rPr>
          <w:rFonts w:ascii="Times New Roman" w:eastAsia="Times New Roman" w:hAnsi="Times New Roman" w:cs="Times New Roman"/>
          <w:sz w:val="24"/>
          <w:szCs w:val="24"/>
          <w:lang w:eastAsia="en-AU"/>
        </w:rPr>
      </w:pPr>
    </w:p>
    <w:p w14:paraId="74AE8071" w14:textId="77777777" w:rsidR="002F6EF8" w:rsidRPr="006D25A3" w:rsidRDefault="002F6EF8" w:rsidP="00D7186E">
      <w:pPr>
        <w:pStyle w:val="Heading2"/>
      </w:pPr>
      <w:r w:rsidRPr="006D25A3">
        <w:t>Legislation</w:t>
      </w:r>
    </w:p>
    <w:p w14:paraId="59153539" w14:textId="741F51B6" w:rsidR="002F6EF8" w:rsidRDefault="002F6EF8" w:rsidP="003A342E">
      <w:pPr>
        <w:pStyle w:val="ListParagraph"/>
        <w:numPr>
          <w:ilvl w:val="0"/>
          <w:numId w:val="20"/>
        </w:numPr>
      </w:pPr>
      <w:r>
        <w:t>National Disability Insurance Scheme Act, 2013</w:t>
      </w:r>
    </w:p>
    <w:p w14:paraId="708EAC59" w14:textId="2C76CEA4" w:rsidR="002F6EF8" w:rsidRPr="006D25A3" w:rsidRDefault="002F6EF8" w:rsidP="003A342E">
      <w:pPr>
        <w:pStyle w:val="ListParagraph"/>
        <w:numPr>
          <w:ilvl w:val="0"/>
          <w:numId w:val="20"/>
        </w:numPr>
      </w:pPr>
      <w:r>
        <w:t>NDIA guidelines</w:t>
      </w:r>
    </w:p>
    <w:p w14:paraId="3A063385" w14:textId="77777777" w:rsidR="009F4FA5" w:rsidRPr="009F4FA5" w:rsidRDefault="009F4FA5" w:rsidP="00D7186E">
      <w:pPr>
        <w:pStyle w:val="Heading2"/>
        <w:rPr>
          <w:lang w:val="en-US"/>
        </w:rPr>
      </w:pPr>
      <w:r w:rsidRPr="009F4FA5">
        <w:rPr>
          <w:lang w:val="en-US"/>
        </w:rPr>
        <w:t>Principles</w:t>
      </w:r>
    </w:p>
    <w:p w14:paraId="75728AEB" w14:textId="5FEF8E44" w:rsidR="002F6EF8" w:rsidRDefault="000D517E" w:rsidP="003A342E">
      <w:pPr>
        <w:pStyle w:val="Heading2"/>
        <w:spacing w:before="120" w:line="276" w:lineRule="auto"/>
        <w:rPr>
          <w:rFonts w:ascii="Arial" w:eastAsia="Times New Roman" w:hAnsi="Arial" w:cs="Arial"/>
          <w:b w:val="0"/>
          <w:sz w:val="24"/>
          <w:szCs w:val="24"/>
          <w:lang w:eastAsia="en-AU"/>
        </w:rPr>
      </w:pPr>
      <w:r>
        <w:rPr>
          <w:rFonts w:ascii="Arial" w:eastAsia="Times New Roman" w:hAnsi="Arial" w:cs="Arial"/>
          <w:b w:val="0"/>
          <w:sz w:val="24"/>
          <w:szCs w:val="24"/>
          <w:lang w:eastAsia="en-AU"/>
        </w:rPr>
        <w:t>O</w:t>
      </w:r>
      <w:r w:rsidR="001E4473">
        <w:rPr>
          <w:rFonts w:ascii="Arial" w:eastAsia="Times New Roman" w:hAnsi="Arial" w:cs="Arial"/>
          <w:b w:val="0"/>
          <w:sz w:val="24"/>
          <w:szCs w:val="24"/>
          <w:lang w:eastAsia="en-AU"/>
        </w:rPr>
        <w:t>ur Plan M</w:t>
      </w:r>
      <w:r w:rsidR="002F6EF8">
        <w:rPr>
          <w:rFonts w:ascii="Arial" w:eastAsia="Times New Roman" w:hAnsi="Arial" w:cs="Arial"/>
          <w:b w:val="0"/>
          <w:sz w:val="24"/>
          <w:szCs w:val="24"/>
          <w:lang w:eastAsia="en-AU"/>
        </w:rPr>
        <w:t>anagement services operate to ensure maximum flexibility for the people we support, while adhering to the NDIA legislation and operational guidelines.</w:t>
      </w:r>
    </w:p>
    <w:p w14:paraId="4476B678" w14:textId="6FCC9298" w:rsidR="002F6EF8" w:rsidRDefault="002F6EF8" w:rsidP="003A342E">
      <w:r w:rsidRPr="001E4473">
        <w:rPr>
          <w:i/>
        </w:rPr>
        <w:t>futures in sight</w:t>
      </w:r>
      <w:r>
        <w:t xml:space="preserve"> will not </w:t>
      </w:r>
      <w:r w:rsidR="00B87BE8">
        <w:t xml:space="preserve">claim </w:t>
      </w:r>
      <w:r>
        <w:t>any invoices</w:t>
      </w:r>
      <w:r w:rsidR="00B87BE8">
        <w:t xml:space="preserve"> on behalf of the NDIA participant</w:t>
      </w:r>
      <w:r>
        <w:t xml:space="preserve"> </w:t>
      </w:r>
      <w:r w:rsidR="00B87BE8">
        <w:t>without approval from the person we support</w:t>
      </w:r>
      <w:r w:rsidR="000D517E">
        <w:t xml:space="preserve"> </w:t>
      </w:r>
      <w:r w:rsidR="00B87BE8">
        <w:t xml:space="preserve">or their nominee. We will not process </w:t>
      </w:r>
      <w:r w:rsidR="001E4473">
        <w:t>invoices, which</w:t>
      </w:r>
      <w:r w:rsidR="00B87BE8">
        <w:t xml:space="preserve"> are to be claimed from the NDIS,</w:t>
      </w:r>
      <w:r w:rsidR="00A7578A">
        <w:t xml:space="preserve"> </w:t>
      </w:r>
      <w:r w:rsidR="00B87BE8">
        <w:t xml:space="preserve">that are above the benchmark set by NDIA. </w:t>
      </w:r>
    </w:p>
    <w:p w14:paraId="0E19CB64" w14:textId="150ABBA6" w:rsidR="009F4FA5" w:rsidRDefault="009F4FA5" w:rsidP="00D7186E">
      <w:pPr>
        <w:pStyle w:val="Heading2"/>
        <w:rPr>
          <w:lang w:val="en-US"/>
        </w:rPr>
      </w:pPr>
      <w:r>
        <w:rPr>
          <w:lang w:val="en-US"/>
        </w:rPr>
        <w:t>Procedure</w:t>
      </w:r>
    </w:p>
    <w:p w14:paraId="62F39421" w14:textId="4930CFA2" w:rsidR="00B87BE8" w:rsidRPr="001E4473" w:rsidRDefault="001E4473" w:rsidP="003A342E">
      <w:pPr>
        <w:spacing w:before="100" w:beforeAutospacing="1" w:after="100" w:afterAutospacing="1"/>
        <w:rPr>
          <w:b/>
        </w:rPr>
      </w:pPr>
      <w:r w:rsidRPr="001E4473">
        <w:rPr>
          <w:b/>
        </w:rPr>
        <w:t xml:space="preserve">1. </w:t>
      </w:r>
      <w:r w:rsidR="00960D28" w:rsidRPr="001E4473">
        <w:rPr>
          <w:b/>
        </w:rPr>
        <w:t xml:space="preserve">To process invoices on </w:t>
      </w:r>
      <w:r w:rsidR="00B87BE8" w:rsidRPr="001E4473">
        <w:rPr>
          <w:b/>
        </w:rPr>
        <w:t>behalf of the person we support we:</w:t>
      </w:r>
    </w:p>
    <w:p w14:paraId="4872C4E0" w14:textId="734CA7B0" w:rsidR="00B87BE8" w:rsidRPr="001E4473" w:rsidRDefault="00B87BE8" w:rsidP="003A342E">
      <w:pPr>
        <w:pStyle w:val="ListParagraph"/>
        <w:numPr>
          <w:ilvl w:val="0"/>
          <w:numId w:val="24"/>
        </w:numPr>
        <w:spacing w:before="100" w:beforeAutospacing="1" w:after="100" w:afterAutospacing="1"/>
      </w:pPr>
      <w:r w:rsidRPr="001E4473">
        <w:t xml:space="preserve">Seek approval from </w:t>
      </w:r>
      <w:r w:rsidRPr="001E4473">
        <w:rPr>
          <w:rFonts w:hint="eastAsia"/>
        </w:rPr>
        <w:t>the</w:t>
      </w:r>
      <w:r w:rsidRPr="001E4473">
        <w:t xml:space="preserve"> person we support or </w:t>
      </w:r>
      <w:r w:rsidRPr="001E4473">
        <w:rPr>
          <w:rFonts w:hint="eastAsia"/>
        </w:rPr>
        <w:t>their</w:t>
      </w:r>
      <w:r w:rsidRPr="001E4473">
        <w:t xml:space="preserve"> nominee in terms of a</w:t>
      </w:r>
      <w:r w:rsidR="001E4473">
        <w:t>ccuracy of services delivered (</w:t>
      </w:r>
      <w:r w:rsidRPr="001E4473">
        <w:t xml:space="preserve">specially </w:t>
      </w:r>
      <w:r w:rsidR="001E4473">
        <w:t xml:space="preserve">in relation to </w:t>
      </w:r>
      <w:r w:rsidRPr="001E4473">
        <w:t>dates and times)</w:t>
      </w:r>
    </w:p>
    <w:p w14:paraId="58EE832E" w14:textId="50577575" w:rsidR="00B87BE8" w:rsidRPr="001E4473" w:rsidRDefault="00B87BE8" w:rsidP="003A342E">
      <w:pPr>
        <w:pStyle w:val="ListParagraph"/>
        <w:numPr>
          <w:ilvl w:val="0"/>
          <w:numId w:val="24"/>
        </w:numPr>
        <w:spacing w:before="100" w:beforeAutospacing="1" w:after="100" w:afterAutospacing="1"/>
      </w:pPr>
      <w:r w:rsidRPr="001E4473">
        <w:t>Check invoice</w:t>
      </w:r>
      <w:r w:rsidR="000D517E">
        <w:t xml:space="preserve">s are </w:t>
      </w:r>
      <w:r w:rsidRPr="001E4473">
        <w:t xml:space="preserve">in line </w:t>
      </w:r>
      <w:r w:rsidRPr="001E4473">
        <w:rPr>
          <w:rFonts w:hint="eastAsia"/>
        </w:rPr>
        <w:t>with</w:t>
      </w:r>
      <w:r w:rsidRPr="001E4473">
        <w:t xml:space="preserve"> the budget of the person we support and highlight any concerns </w:t>
      </w:r>
      <w:r w:rsidRPr="001E4473">
        <w:rPr>
          <w:rFonts w:hint="eastAsia"/>
        </w:rPr>
        <w:t>with</w:t>
      </w:r>
      <w:r w:rsidRPr="001E4473">
        <w:t xml:space="preserve"> the person/ </w:t>
      </w:r>
      <w:r w:rsidRPr="001E4473">
        <w:rPr>
          <w:rFonts w:hint="eastAsia"/>
        </w:rPr>
        <w:t>their</w:t>
      </w:r>
      <w:r w:rsidRPr="001E4473">
        <w:t xml:space="preserve"> nominee </w:t>
      </w:r>
      <w:r w:rsidR="001E4473" w:rsidRPr="001E4473">
        <w:t>immediately</w:t>
      </w:r>
    </w:p>
    <w:p w14:paraId="162D7CA7" w14:textId="4641E96A" w:rsidR="001E4473" w:rsidRDefault="00B87BE8" w:rsidP="003A342E">
      <w:pPr>
        <w:pStyle w:val="ListParagraph"/>
        <w:numPr>
          <w:ilvl w:val="0"/>
          <w:numId w:val="24"/>
        </w:numPr>
        <w:spacing w:before="100" w:beforeAutospacing="1" w:after="100" w:afterAutospacing="1"/>
      </w:pPr>
      <w:r w:rsidRPr="001E4473">
        <w:t>Check invoice</w:t>
      </w:r>
      <w:r w:rsidR="000D517E">
        <w:t>s</w:t>
      </w:r>
      <w:r w:rsidRPr="001E4473">
        <w:t xml:space="preserve"> for accuracy in term</w:t>
      </w:r>
      <w:r w:rsidR="001E4473">
        <w:t>s</w:t>
      </w:r>
      <w:r w:rsidRPr="001E4473">
        <w:t xml:space="preserve"> of NDIA price guide, as all as ATO requirements</w:t>
      </w:r>
    </w:p>
    <w:p w14:paraId="5C372AE0" w14:textId="3ADB9BE1" w:rsidR="00B87BE8" w:rsidRPr="001E4473" w:rsidRDefault="00B87BE8" w:rsidP="003A342E">
      <w:pPr>
        <w:pStyle w:val="ListParagraph"/>
        <w:numPr>
          <w:ilvl w:val="0"/>
          <w:numId w:val="24"/>
        </w:numPr>
        <w:spacing w:before="100" w:beforeAutospacing="1" w:after="100" w:afterAutospacing="1"/>
      </w:pPr>
      <w:r w:rsidRPr="001E4473">
        <w:t>Process invoice</w:t>
      </w:r>
      <w:r w:rsidR="000D517E">
        <w:t>s</w:t>
      </w:r>
      <w:r w:rsidRPr="001E4473">
        <w:t xml:space="preserve"> and claim from NDIA portal</w:t>
      </w:r>
    </w:p>
    <w:p w14:paraId="2F819901" w14:textId="6A193F19" w:rsidR="00B87BE8" w:rsidRPr="001E4473" w:rsidRDefault="00B87BE8" w:rsidP="003A342E">
      <w:pPr>
        <w:pStyle w:val="ListParagraph"/>
        <w:numPr>
          <w:ilvl w:val="0"/>
          <w:numId w:val="24"/>
        </w:numPr>
        <w:spacing w:before="100" w:beforeAutospacing="1" w:after="100" w:afterAutospacing="1"/>
      </w:pPr>
      <w:r w:rsidRPr="001E4473">
        <w:lastRenderedPageBreak/>
        <w:t>Once payment has been received pay the provider</w:t>
      </w:r>
    </w:p>
    <w:p w14:paraId="18C574A9" w14:textId="742E8BDB" w:rsidR="00B87BE8" w:rsidRPr="005317F3" w:rsidRDefault="005317F3" w:rsidP="003A342E">
      <w:pPr>
        <w:spacing w:before="100" w:beforeAutospacing="1" w:after="100" w:afterAutospacing="1"/>
        <w:rPr>
          <w:b/>
        </w:rPr>
      </w:pPr>
      <w:r w:rsidRPr="005317F3">
        <w:rPr>
          <w:b/>
          <w:i/>
        </w:rPr>
        <w:t>f</w:t>
      </w:r>
      <w:r w:rsidR="00B87BE8" w:rsidRPr="005317F3">
        <w:rPr>
          <w:b/>
          <w:i/>
        </w:rPr>
        <w:t>utures in sight</w:t>
      </w:r>
      <w:r w:rsidR="00B87BE8" w:rsidRPr="005317F3">
        <w:rPr>
          <w:b/>
        </w:rPr>
        <w:t xml:space="preserve"> </w:t>
      </w:r>
      <w:r>
        <w:rPr>
          <w:b/>
        </w:rPr>
        <w:t>is unable to</w:t>
      </w:r>
      <w:r w:rsidR="001E4473" w:rsidRPr="005317F3">
        <w:rPr>
          <w:b/>
        </w:rPr>
        <w:t xml:space="preserve"> process</w:t>
      </w:r>
      <w:r w:rsidRPr="005317F3">
        <w:rPr>
          <w:b/>
        </w:rPr>
        <w:t xml:space="preserve"> nor pay</w:t>
      </w:r>
      <w:r w:rsidR="001E4473" w:rsidRPr="005317F3">
        <w:rPr>
          <w:b/>
        </w:rPr>
        <w:t xml:space="preserve"> invoices: </w:t>
      </w:r>
    </w:p>
    <w:p w14:paraId="2343E3F0" w14:textId="15F7D75D" w:rsidR="00B87BE8" w:rsidRPr="001E4473" w:rsidRDefault="001E4473" w:rsidP="003A342E">
      <w:pPr>
        <w:pStyle w:val="ListParagraph"/>
        <w:numPr>
          <w:ilvl w:val="0"/>
          <w:numId w:val="25"/>
        </w:numPr>
        <w:spacing w:before="100" w:beforeAutospacing="1" w:after="100" w:afterAutospacing="1"/>
      </w:pPr>
      <w:r>
        <w:t xml:space="preserve">that are </w:t>
      </w:r>
      <w:r w:rsidR="00B87BE8" w:rsidRPr="001E4473">
        <w:t xml:space="preserve">above the </w:t>
      </w:r>
      <w:r w:rsidR="000D517E">
        <w:t>NDIS benchmark/</w:t>
      </w:r>
      <w:r w:rsidR="00B87BE8" w:rsidRPr="001E4473">
        <w:t>capped price (to that end invoices need to be round down rather then round up)</w:t>
      </w:r>
    </w:p>
    <w:p w14:paraId="27B88384" w14:textId="69A4652A" w:rsidR="00B87BE8" w:rsidRPr="001E4473" w:rsidRDefault="001E4473" w:rsidP="003A342E">
      <w:pPr>
        <w:pStyle w:val="ListParagraph"/>
        <w:numPr>
          <w:ilvl w:val="0"/>
          <w:numId w:val="25"/>
        </w:numPr>
        <w:spacing w:before="100" w:beforeAutospacing="1" w:after="100" w:afterAutospacing="1"/>
      </w:pPr>
      <w:r>
        <w:t>wh</w:t>
      </w:r>
      <w:r w:rsidR="00B87BE8" w:rsidRPr="001E4473">
        <w:t xml:space="preserve">ere only </w:t>
      </w:r>
      <w:r>
        <w:t xml:space="preserve">a </w:t>
      </w:r>
      <w:r w:rsidR="00B87BE8" w:rsidRPr="001E4473">
        <w:t>p</w:t>
      </w:r>
      <w:r>
        <w:t>art payment has been received (</w:t>
      </w:r>
      <w:r w:rsidR="00B87BE8" w:rsidRPr="001E4473">
        <w:t xml:space="preserve">only invoices that have been full paid for by the NDIA will be paid by </w:t>
      </w:r>
      <w:r w:rsidR="00B87BE8" w:rsidRPr="001E4473">
        <w:rPr>
          <w:i/>
        </w:rPr>
        <w:t>futures in sight</w:t>
      </w:r>
      <w:r w:rsidR="00B87BE8" w:rsidRPr="001E4473">
        <w:t xml:space="preserve">). </w:t>
      </w:r>
      <w:r>
        <w:t>We will work with the person we support/their nominee and the provider concerned to resolve the outstanding issue</w:t>
      </w:r>
    </w:p>
    <w:p w14:paraId="460D26CF" w14:textId="600DCF58" w:rsidR="00B87BE8" w:rsidRPr="001E4473" w:rsidRDefault="00960D28" w:rsidP="003A342E">
      <w:pPr>
        <w:pStyle w:val="ListParagraph"/>
        <w:numPr>
          <w:ilvl w:val="0"/>
          <w:numId w:val="25"/>
        </w:numPr>
        <w:spacing w:before="100" w:beforeAutospacing="1" w:after="100" w:afterAutospacing="1"/>
      </w:pPr>
      <w:r w:rsidRPr="001E4473">
        <w:t xml:space="preserve">that have been </w:t>
      </w:r>
      <w:r w:rsidR="001E4473" w:rsidRPr="001E4473">
        <w:t>rejected</w:t>
      </w:r>
      <w:r w:rsidRPr="001E4473">
        <w:t xml:space="preserve"> </w:t>
      </w:r>
      <w:r w:rsidR="000D517E">
        <w:t xml:space="preserve">for payment </w:t>
      </w:r>
      <w:r w:rsidRPr="001E4473">
        <w:t>by the NDIA</w:t>
      </w:r>
      <w:r w:rsidR="005317F3">
        <w:t>.</w:t>
      </w:r>
      <w:r w:rsidRPr="001E4473">
        <w:t xml:space="preserve"> We will work </w:t>
      </w:r>
      <w:r w:rsidRPr="001E4473">
        <w:rPr>
          <w:rFonts w:hint="eastAsia"/>
        </w:rPr>
        <w:t>with</w:t>
      </w:r>
      <w:r w:rsidRPr="001E4473">
        <w:t xml:space="preserve"> the person we support/ </w:t>
      </w:r>
      <w:r w:rsidRPr="001E4473">
        <w:rPr>
          <w:rFonts w:hint="eastAsia"/>
        </w:rPr>
        <w:t>their</w:t>
      </w:r>
      <w:r w:rsidRPr="001E4473">
        <w:t xml:space="preserve"> nominee, the NDIA and the provider to address the concerning issues</w:t>
      </w:r>
    </w:p>
    <w:p w14:paraId="4B8FD325" w14:textId="03ACB8D2" w:rsidR="00B87BE8" w:rsidRPr="005317F3" w:rsidRDefault="005317F3" w:rsidP="003A342E">
      <w:pPr>
        <w:spacing w:before="100" w:beforeAutospacing="1" w:after="100" w:afterAutospacing="1"/>
        <w:rPr>
          <w:rFonts w:eastAsia="Times New Roman" w:cs="Arial"/>
          <w:b/>
          <w:color w:val="000000"/>
          <w:szCs w:val="24"/>
        </w:rPr>
      </w:pPr>
      <w:r w:rsidRPr="005317F3">
        <w:rPr>
          <w:rFonts w:eastAsia="Times New Roman" w:cs="Arial"/>
          <w:b/>
          <w:color w:val="000000"/>
          <w:szCs w:val="24"/>
        </w:rPr>
        <w:t xml:space="preserve">Rounding </w:t>
      </w:r>
      <w:r w:rsidR="0015378E">
        <w:rPr>
          <w:rFonts w:eastAsia="Times New Roman" w:cs="Arial"/>
          <w:b/>
          <w:color w:val="000000"/>
          <w:szCs w:val="24"/>
        </w:rPr>
        <w:t xml:space="preserve">down </w:t>
      </w:r>
      <w:r w:rsidRPr="005317F3">
        <w:rPr>
          <w:rFonts w:eastAsia="Times New Roman" w:cs="Arial"/>
          <w:b/>
          <w:color w:val="000000"/>
          <w:szCs w:val="24"/>
        </w:rPr>
        <w:t xml:space="preserve">to comply with </w:t>
      </w:r>
      <w:r w:rsidR="0015378E">
        <w:rPr>
          <w:rFonts w:eastAsia="Times New Roman" w:cs="Arial"/>
          <w:b/>
          <w:color w:val="000000"/>
          <w:szCs w:val="24"/>
        </w:rPr>
        <w:t xml:space="preserve">NDIA benchmark </w:t>
      </w:r>
      <w:r w:rsidRPr="005317F3">
        <w:rPr>
          <w:rFonts w:eastAsia="Times New Roman" w:cs="Arial"/>
          <w:b/>
          <w:color w:val="000000"/>
          <w:szCs w:val="24"/>
        </w:rPr>
        <w:t>Price</w:t>
      </w:r>
      <w:r w:rsidR="0015378E">
        <w:rPr>
          <w:rFonts w:eastAsia="Times New Roman" w:cs="Arial"/>
          <w:b/>
          <w:color w:val="000000"/>
          <w:szCs w:val="24"/>
        </w:rPr>
        <w:t>s</w:t>
      </w:r>
      <w:r w:rsidRPr="005317F3">
        <w:rPr>
          <w:rFonts w:eastAsia="Times New Roman" w:cs="Arial"/>
          <w:b/>
          <w:color w:val="000000"/>
          <w:szCs w:val="24"/>
        </w:rPr>
        <w:t xml:space="preserve"> </w:t>
      </w:r>
    </w:p>
    <w:p w14:paraId="615FA932" w14:textId="0CD84487" w:rsidR="00960D28" w:rsidRPr="0015378E" w:rsidRDefault="0015378E" w:rsidP="003A342E">
      <w:pPr>
        <w:pStyle w:val="ListParagraph"/>
        <w:numPr>
          <w:ilvl w:val="0"/>
          <w:numId w:val="26"/>
        </w:numPr>
        <w:spacing w:before="100" w:beforeAutospacing="1" w:after="100" w:afterAutospacing="1"/>
        <w:rPr>
          <w:rFonts w:eastAsia="Times New Roman" w:cs="Arial"/>
          <w:color w:val="000000"/>
          <w:szCs w:val="24"/>
        </w:rPr>
      </w:pPr>
      <w:r w:rsidRPr="003A342E">
        <w:rPr>
          <w:rFonts w:eastAsia="Times New Roman" w:cs="Arial"/>
          <w:i/>
          <w:color w:val="000000"/>
          <w:szCs w:val="24"/>
        </w:rPr>
        <w:t>f</w:t>
      </w:r>
      <w:r w:rsidR="005317F3" w:rsidRPr="003A342E">
        <w:rPr>
          <w:rFonts w:eastAsia="Times New Roman" w:cs="Arial"/>
          <w:i/>
          <w:color w:val="000000"/>
          <w:szCs w:val="24"/>
        </w:rPr>
        <w:t>utures in sight</w:t>
      </w:r>
      <w:r w:rsidR="005317F3" w:rsidRPr="0015378E">
        <w:rPr>
          <w:rFonts w:eastAsia="Times New Roman" w:cs="Arial"/>
          <w:color w:val="000000"/>
          <w:szCs w:val="24"/>
        </w:rPr>
        <w:t xml:space="preserve"> does not pay invoices above the </w:t>
      </w:r>
      <w:r w:rsidR="000D517E">
        <w:rPr>
          <w:rFonts w:eastAsia="Times New Roman" w:cs="Arial"/>
          <w:color w:val="000000"/>
          <w:szCs w:val="24"/>
        </w:rPr>
        <w:t>NDIS benchmark/</w:t>
      </w:r>
      <w:r w:rsidR="005317F3" w:rsidRPr="0015378E">
        <w:rPr>
          <w:rFonts w:eastAsia="Times New Roman" w:cs="Arial"/>
          <w:color w:val="000000"/>
          <w:szCs w:val="24"/>
        </w:rPr>
        <w:t>capped price.</w:t>
      </w:r>
    </w:p>
    <w:p w14:paraId="7D0E3055" w14:textId="390C3D4B" w:rsidR="005317F3" w:rsidRPr="0015378E" w:rsidRDefault="005317F3" w:rsidP="003A342E">
      <w:pPr>
        <w:pStyle w:val="ListParagraph"/>
        <w:numPr>
          <w:ilvl w:val="0"/>
          <w:numId w:val="26"/>
        </w:numPr>
        <w:spacing w:before="100" w:beforeAutospacing="1" w:after="100" w:afterAutospacing="1"/>
        <w:rPr>
          <w:rFonts w:eastAsia="Times New Roman" w:cs="Arial"/>
          <w:color w:val="000000"/>
          <w:szCs w:val="24"/>
        </w:rPr>
      </w:pPr>
      <w:r w:rsidRPr="0015378E">
        <w:rPr>
          <w:rFonts w:eastAsia="Times New Roman" w:cs="Arial"/>
          <w:color w:val="000000"/>
          <w:szCs w:val="24"/>
        </w:rPr>
        <w:t>Invoices received above t</w:t>
      </w:r>
      <w:r w:rsidR="0015378E" w:rsidRPr="0015378E">
        <w:rPr>
          <w:rFonts w:eastAsia="Times New Roman" w:cs="Arial"/>
          <w:color w:val="000000"/>
          <w:szCs w:val="24"/>
        </w:rPr>
        <w:t>he</w:t>
      </w:r>
      <w:r w:rsidRPr="0015378E">
        <w:rPr>
          <w:rFonts w:eastAsia="Times New Roman" w:cs="Arial"/>
          <w:color w:val="000000"/>
          <w:szCs w:val="24"/>
        </w:rPr>
        <w:t xml:space="preserve"> capped price will be paid at the capped price rate</w:t>
      </w:r>
    </w:p>
    <w:p w14:paraId="44F0A5CE" w14:textId="77777777" w:rsidR="0015378E" w:rsidRPr="0015378E" w:rsidRDefault="0015378E" w:rsidP="003A342E">
      <w:pPr>
        <w:pStyle w:val="ListParagraph"/>
        <w:numPr>
          <w:ilvl w:val="0"/>
          <w:numId w:val="26"/>
        </w:numPr>
        <w:spacing w:before="100" w:beforeAutospacing="1" w:after="100" w:afterAutospacing="1"/>
        <w:rPr>
          <w:rFonts w:eastAsia="Times New Roman" w:cs="Arial"/>
          <w:color w:val="000000"/>
          <w:szCs w:val="24"/>
        </w:rPr>
      </w:pPr>
      <w:r w:rsidRPr="0015378E">
        <w:rPr>
          <w:rFonts w:eastAsia="Times New Roman" w:cs="Arial"/>
          <w:color w:val="000000"/>
          <w:szCs w:val="24"/>
        </w:rPr>
        <w:t>Futures in sight accounting systems will be adjusted to this practice</w:t>
      </w:r>
    </w:p>
    <w:p w14:paraId="2461273D" w14:textId="7A31C92C" w:rsidR="005317F3" w:rsidRPr="0015378E" w:rsidRDefault="005317F3" w:rsidP="003A342E">
      <w:pPr>
        <w:pStyle w:val="ListParagraph"/>
        <w:numPr>
          <w:ilvl w:val="0"/>
          <w:numId w:val="26"/>
        </w:numPr>
        <w:spacing w:before="100" w:beforeAutospacing="1" w:after="100" w:afterAutospacing="1"/>
        <w:rPr>
          <w:rFonts w:eastAsia="Times New Roman" w:cs="Arial"/>
          <w:color w:val="000000"/>
          <w:szCs w:val="24"/>
        </w:rPr>
      </w:pPr>
      <w:r w:rsidRPr="0015378E">
        <w:rPr>
          <w:rFonts w:eastAsia="Times New Roman" w:cs="Arial"/>
          <w:color w:val="000000"/>
          <w:szCs w:val="24"/>
        </w:rPr>
        <w:t>Subsequent invoices sen</w:t>
      </w:r>
      <w:r w:rsidR="000D517E">
        <w:rPr>
          <w:rFonts w:eastAsia="Times New Roman" w:cs="Arial"/>
          <w:color w:val="000000"/>
          <w:szCs w:val="24"/>
        </w:rPr>
        <w:t>t</w:t>
      </w:r>
      <w:r w:rsidRPr="0015378E">
        <w:rPr>
          <w:rFonts w:eastAsia="Times New Roman" w:cs="Arial"/>
          <w:color w:val="000000"/>
          <w:szCs w:val="24"/>
        </w:rPr>
        <w:t xml:space="preserve"> by providers </w:t>
      </w:r>
      <w:r w:rsidR="0015378E" w:rsidRPr="0015378E">
        <w:rPr>
          <w:rFonts w:eastAsia="Times New Roman" w:cs="Arial"/>
          <w:color w:val="000000"/>
          <w:szCs w:val="24"/>
        </w:rPr>
        <w:t xml:space="preserve">for the remaining amounts, </w:t>
      </w:r>
      <w:r w:rsidRPr="0015378E">
        <w:rPr>
          <w:rFonts w:eastAsia="Times New Roman" w:cs="Arial"/>
          <w:color w:val="000000"/>
          <w:szCs w:val="24"/>
        </w:rPr>
        <w:t>which are the result of rounding up and exceeding the benchmark price, will be sen</w:t>
      </w:r>
      <w:r w:rsidR="000D517E">
        <w:rPr>
          <w:rFonts w:eastAsia="Times New Roman" w:cs="Arial"/>
          <w:color w:val="000000"/>
          <w:szCs w:val="24"/>
        </w:rPr>
        <w:t>t</w:t>
      </w:r>
      <w:r w:rsidRPr="0015378E">
        <w:rPr>
          <w:rFonts w:eastAsia="Times New Roman" w:cs="Arial"/>
          <w:color w:val="000000"/>
          <w:szCs w:val="24"/>
        </w:rPr>
        <w:t xml:space="preserve"> back to the p</w:t>
      </w:r>
      <w:r w:rsidR="0015378E" w:rsidRPr="0015378E">
        <w:rPr>
          <w:rFonts w:eastAsia="Times New Roman" w:cs="Arial"/>
          <w:color w:val="000000"/>
          <w:szCs w:val="24"/>
        </w:rPr>
        <w:t>rovider with the suggestion to contact the NDIA directly if seeking above benchmark payment.</w:t>
      </w:r>
    </w:p>
    <w:p w14:paraId="5CE21C59" w14:textId="77777777" w:rsidR="00036F6E" w:rsidRPr="005F0E61" w:rsidRDefault="00036F6E" w:rsidP="003A342E">
      <w:pPr>
        <w:rPr>
          <w:b/>
          <w:szCs w:val="24"/>
          <w:lang w:val="en-US"/>
        </w:rPr>
      </w:pPr>
      <w:r w:rsidRPr="005F0E61">
        <w:rPr>
          <w:b/>
          <w:szCs w:val="24"/>
          <w:lang w:val="en-US"/>
        </w:rPr>
        <w:t>Review</w:t>
      </w:r>
    </w:p>
    <w:p w14:paraId="6966653C" w14:textId="77777777" w:rsidR="00036F6E" w:rsidRPr="005F0E61" w:rsidRDefault="00036F6E" w:rsidP="003A342E">
      <w:pPr>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1846A603" w14:textId="77777777" w:rsidR="00036F6E" w:rsidRPr="005F0E61" w:rsidRDefault="00036F6E" w:rsidP="003A342E">
      <w:pPr>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p w14:paraId="748550FE" w14:textId="0C219C2F" w:rsidR="00036F6E" w:rsidRPr="005F0E61" w:rsidRDefault="00036F6E" w:rsidP="00036F6E">
      <w:pPr>
        <w:rPr>
          <w:b/>
          <w:szCs w:val="24"/>
          <w:lang w:val="en-US"/>
        </w:rPr>
      </w:pPr>
      <w:bookmarkStart w:id="0" w:name="_GoBack"/>
      <w:bookmarkEnd w:id="0"/>
    </w:p>
    <w:tbl>
      <w:tblPr>
        <w:tblStyle w:val="TableGrid"/>
        <w:tblW w:w="9322" w:type="dxa"/>
        <w:tblLook w:val="04A0" w:firstRow="1" w:lastRow="0" w:firstColumn="1" w:lastColumn="0" w:noHBand="0" w:noVBand="1"/>
      </w:tblPr>
      <w:tblGrid>
        <w:gridCol w:w="3085"/>
        <w:gridCol w:w="1843"/>
        <w:gridCol w:w="2268"/>
        <w:gridCol w:w="2126"/>
      </w:tblGrid>
      <w:tr w:rsidR="00181FCD" w:rsidRPr="00D0163B" w14:paraId="60D39F16" w14:textId="77777777" w:rsidTr="00EA2FB2">
        <w:tc>
          <w:tcPr>
            <w:tcW w:w="3085" w:type="dxa"/>
          </w:tcPr>
          <w:p w14:paraId="5E70C454" w14:textId="77777777" w:rsidR="00181FCD" w:rsidRPr="00D0163B" w:rsidRDefault="00181FCD" w:rsidP="00EA2FB2">
            <w:pPr>
              <w:rPr>
                <w:rFonts w:ascii="Century Gothic" w:hAnsi="Century Gothic" w:cstheme="minorHAnsi"/>
                <w:bCs/>
                <w:color w:val="000000" w:themeColor="text1"/>
                <w:szCs w:val="24"/>
                <w:lang w:val="en"/>
              </w:rPr>
            </w:pPr>
            <w:r>
              <w:rPr>
                <w:rFonts w:ascii="Century Gothic" w:hAnsi="Century Gothic" w:cstheme="minorHAnsi"/>
                <w:bCs/>
                <w:color w:val="000000" w:themeColor="text1"/>
                <w:szCs w:val="24"/>
                <w:lang w:val="en"/>
              </w:rPr>
              <w:t xml:space="preserve">Signed </w:t>
            </w:r>
            <w:r w:rsidRPr="00D0163B">
              <w:rPr>
                <w:rFonts w:ascii="Century Gothic" w:hAnsi="Century Gothic" w:cstheme="minorHAnsi"/>
                <w:bCs/>
                <w:color w:val="000000" w:themeColor="text1"/>
                <w:szCs w:val="24"/>
                <w:lang w:val="en"/>
              </w:rPr>
              <w:t xml:space="preserve">by </w:t>
            </w:r>
            <w:r>
              <w:rPr>
                <w:rFonts w:ascii="Century Gothic" w:hAnsi="Century Gothic" w:cstheme="minorHAnsi"/>
                <w:bCs/>
                <w:color w:val="000000" w:themeColor="text1"/>
                <w:szCs w:val="24"/>
                <w:lang w:val="en"/>
              </w:rPr>
              <w:t>all Partners</w:t>
            </w:r>
          </w:p>
        </w:tc>
        <w:tc>
          <w:tcPr>
            <w:tcW w:w="6237" w:type="dxa"/>
            <w:gridSpan w:val="3"/>
          </w:tcPr>
          <w:p w14:paraId="2728BC7C" w14:textId="78882EAD" w:rsidR="00181FCD" w:rsidRPr="00596E20" w:rsidRDefault="00181FCD" w:rsidP="00EA2FB2">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Original signed by all Partne</w:t>
            </w:r>
            <w:r w:rsidR="001B3CF2">
              <w:rPr>
                <w:rFonts w:ascii="Century Gothic" w:hAnsi="Century Gothic" w:cstheme="minorHAnsi"/>
                <w:bCs/>
                <w:color w:val="000000" w:themeColor="text1"/>
                <w:szCs w:val="24"/>
                <w:lang w:val="en"/>
              </w:rPr>
              <w:t>r</w:t>
            </w:r>
            <w:r w:rsidRPr="00596E20">
              <w:rPr>
                <w:rFonts w:ascii="Century Gothic" w:hAnsi="Century Gothic" w:cstheme="minorHAnsi"/>
                <w:bCs/>
                <w:color w:val="000000" w:themeColor="text1"/>
                <w:szCs w:val="24"/>
                <w:lang w:val="en"/>
              </w:rPr>
              <w:t>s</w:t>
            </w:r>
          </w:p>
        </w:tc>
      </w:tr>
      <w:tr w:rsidR="00181FCD" w:rsidRPr="00D0163B" w14:paraId="202CCE32" w14:textId="77777777" w:rsidTr="00EA2FB2">
        <w:tc>
          <w:tcPr>
            <w:tcW w:w="3085" w:type="dxa"/>
          </w:tcPr>
          <w:p w14:paraId="58291920" w14:textId="77777777" w:rsidR="00181FCD" w:rsidRPr="00D0163B" w:rsidRDefault="00181FCD" w:rsidP="00EA2FB2">
            <w:pPr>
              <w:rPr>
                <w:rFonts w:ascii="Century Gothic" w:hAnsi="Century Gothic" w:cstheme="minorHAnsi"/>
                <w:bCs/>
                <w:color w:val="000000" w:themeColor="text1"/>
                <w:szCs w:val="24"/>
                <w:lang w:val="en"/>
              </w:rPr>
            </w:pPr>
            <w:r w:rsidRPr="00D0163B">
              <w:rPr>
                <w:rFonts w:ascii="Century Gothic" w:hAnsi="Century Gothic" w:cstheme="minorHAnsi"/>
                <w:bCs/>
                <w:color w:val="000000" w:themeColor="text1"/>
                <w:szCs w:val="24"/>
                <w:lang w:val="en"/>
              </w:rPr>
              <w:t>Date effective</w:t>
            </w:r>
          </w:p>
        </w:tc>
        <w:tc>
          <w:tcPr>
            <w:tcW w:w="1843" w:type="dxa"/>
          </w:tcPr>
          <w:p w14:paraId="3BB5B6DE" w14:textId="51CF6B0B" w:rsidR="00181FCD" w:rsidRPr="00596E20" w:rsidRDefault="00181FCD" w:rsidP="003A342E">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 xml:space="preserve">1 </w:t>
            </w:r>
            <w:r w:rsidR="003A342E">
              <w:rPr>
                <w:rFonts w:ascii="Century Gothic" w:hAnsi="Century Gothic" w:cstheme="minorHAnsi"/>
                <w:bCs/>
                <w:color w:val="000000" w:themeColor="text1"/>
                <w:szCs w:val="24"/>
                <w:lang w:val="en"/>
              </w:rPr>
              <w:t>May</w:t>
            </w:r>
            <w:r w:rsidRPr="00596E20">
              <w:rPr>
                <w:rFonts w:ascii="Century Gothic" w:hAnsi="Century Gothic" w:cstheme="minorHAnsi"/>
                <w:bCs/>
                <w:color w:val="000000" w:themeColor="text1"/>
                <w:szCs w:val="24"/>
                <w:lang w:val="en"/>
              </w:rPr>
              <w:t xml:space="preserve"> 201</w:t>
            </w:r>
            <w:r w:rsidR="00A7578A">
              <w:rPr>
                <w:rFonts w:ascii="Century Gothic" w:hAnsi="Century Gothic" w:cstheme="minorHAnsi"/>
                <w:bCs/>
                <w:color w:val="000000" w:themeColor="text1"/>
                <w:szCs w:val="24"/>
                <w:lang w:val="en"/>
              </w:rPr>
              <w:t>9</w:t>
            </w:r>
          </w:p>
        </w:tc>
        <w:tc>
          <w:tcPr>
            <w:tcW w:w="2268" w:type="dxa"/>
          </w:tcPr>
          <w:p w14:paraId="45353F1C" w14:textId="77777777" w:rsidR="00181FCD" w:rsidRPr="00596E20" w:rsidRDefault="00181FCD" w:rsidP="00EA2FB2">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Version</w:t>
            </w:r>
          </w:p>
        </w:tc>
        <w:tc>
          <w:tcPr>
            <w:tcW w:w="2126" w:type="dxa"/>
          </w:tcPr>
          <w:p w14:paraId="26C2F48F" w14:textId="2290D462" w:rsidR="00181FCD" w:rsidRPr="00596E20" w:rsidRDefault="00181FCD" w:rsidP="00EA2FB2">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V</w:t>
            </w:r>
            <w:r w:rsidR="00C410C2">
              <w:rPr>
                <w:rFonts w:ascii="Century Gothic" w:hAnsi="Century Gothic" w:cstheme="minorHAnsi"/>
                <w:bCs/>
                <w:color w:val="000000" w:themeColor="text1"/>
                <w:szCs w:val="24"/>
                <w:lang w:val="en"/>
              </w:rPr>
              <w:t>-</w:t>
            </w:r>
            <w:r w:rsidR="00A7578A">
              <w:rPr>
                <w:rFonts w:ascii="Century Gothic" w:hAnsi="Century Gothic" w:cstheme="minorHAnsi"/>
                <w:bCs/>
                <w:color w:val="000000" w:themeColor="text1"/>
                <w:szCs w:val="24"/>
                <w:lang w:val="en"/>
              </w:rPr>
              <w:t>2</w:t>
            </w:r>
          </w:p>
        </w:tc>
      </w:tr>
      <w:tr w:rsidR="00181FCD" w:rsidRPr="00D0163B" w14:paraId="582D0E9F" w14:textId="77777777" w:rsidTr="000234C3">
        <w:trPr>
          <w:trHeight w:val="90"/>
        </w:trPr>
        <w:tc>
          <w:tcPr>
            <w:tcW w:w="3085" w:type="dxa"/>
          </w:tcPr>
          <w:p w14:paraId="71EF0923" w14:textId="77777777" w:rsidR="00181FCD" w:rsidRPr="00D0163B" w:rsidRDefault="00181FCD" w:rsidP="00EA2FB2">
            <w:pPr>
              <w:rPr>
                <w:rFonts w:ascii="Century Gothic" w:hAnsi="Century Gothic" w:cstheme="minorHAnsi"/>
                <w:bCs/>
                <w:color w:val="000000" w:themeColor="text1"/>
                <w:szCs w:val="24"/>
                <w:lang w:val="en"/>
              </w:rPr>
            </w:pPr>
            <w:r w:rsidRPr="00D0163B">
              <w:rPr>
                <w:rFonts w:ascii="Century Gothic" w:hAnsi="Century Gothic" w:cstheme="minorHAnsi"/>
                <w:bCs/>
                <w:color w:val="000000" w:themeColor="text1"/>
                <w:szCs w:val="24"/>
                <w:lang w:val="en"/>
              </w:rPr>
              <w:t>Review date</w:t>
            </w:r>
          </w:p>
        </w:tc>
        <w:tc>
          <w:tcPr>
            <w:tcW w:w="1843" w:type="dxa"/>
          </w:tcPr>
          <w:p w14:paraId="7A3E6DA9" w14:textId="49F4001A" w:rsidR="00181FCD" w:rsidRPr="00596E20" w:rsidRDefault="00181FCD" w:rsidP="003A342E">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 xml:space="preserve">1 </w:t>
            </w:r>
            <w:r w:rsidR="003A342E">
              <w:rPr>
                <w:rFonts w:ascii="Century Gothic" w:hAnsi="Century Gothic" w:cstheme="minorHAnsi"/>
                <w:bCs/>
                <w:color w:val="000000" w:themeColor="text1"/>
                <w:szCs w:val="24"/>
                <w:lang w:val="en"/>
              </w:rPr>
              <w:t>May</w:t>
            </w:r>
            <w:r w:rsidRPr="00596E20">
              <w:rPr>
                <w:rFonts w:ascii="Century Gothic" w:hAnsi="Century Gothic" w:cstheme="minorHAnsi"/>
                <w:bCs/>
                <w:color w:val="000000" w:themeColor="text1"/>
                <w:szCs w:val="24"/>
                <w:lang w:val="en"/>
              </w:rPr>
              <w:t xml:space="preserve"> 20</w:t>
            </w:r>
            <w:r w:rsidR="00036F6E">
              <w:rPr>
                <w:rFonts w:ascii="Century Gothic" w:hAnsi="Century Gothic" w:cstheme="minorHAnsi"/>
                <w:bCs/>
                <w:color w:val="000000" w:themeColor="text1"/>
                <w:szCs w:val="24"/>
                <w:lang w:val="en"/>
              </w:rPr>
              <w:t>2</w:t>
            </w:r>
            <w:r w:rsidR="00A7578A">
              <w:rPr>
                <w:rFonts w:ascii="Century Gothic" w:hAnsi="Century Gothic" w:cstheme="minorHAnsi"/>
                <w:bCs/>
                <w:color w:val="000000" w:themeColor="text1"/>
                <w:szCs w:val="24"/>
                <w:lang w:val="en"/>
              </w:rPr>
              <w:t>1</w:t>
            </w:r>
          </w:p>
        </w:tc>
        <w:tc>
          <w:tcPr>
            <w:tcW w:w="2268" w:type="dxa"/>
          </w:tcPr>
          <w:p w14:paraId="4801E69A" w14:textId="77777777" w:rsidR="00181FCD" w:rsidRPr="00596E20" w:rsidRDefault="00181FCD" w:rsidP="00EA2FB2">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No of pages</w:t>
            </w:r>
          </w:p>
        </w:tc>
        <w:tc>
          <w:tcPr>
            <w:tcW w:w="2126" w:type="dxa"/>
          </w:tcPr>
          <w:p w14:paraId="0BF885AE" w14:textId="63D5FC9A" w:rsidR="00181FCD" w:rsidRPr="00596E20" w:rsidRDefault="00750DF3" w:rsidP="00EA2FB2">
            <w:pPr>
              <w:rPr>
                <w:rFonts w:ascii="Century Gothic" w:hAnsi="Century Gothic" w:cstheme="minorHAnsi"/>
                <w:bCs/>
                <w:color w:val="000000" w:themeColor="text1"/>
                <w:szCs w:val="24"/>
                <w:lang w:val="en"/>
              </w:rPr>
            </w:pPr>
            <w:r>
              <w:rPr>
                <w:rFonts w:ascii="Century Gothic" w:hAnsi="Century Gothic" w:cstheme="minorHAnsi"/>
                <w:bCs/>
                <w:color w:val="000000" w:themeColor="text1"/>
                <w:szCs w:val="24"/>
                <w:lang w:val="en"/>
              </w:rPr>
              <w:t>2</w:t>
            </w:r>
          </w:p>
        </w:tc>
      </w:tr>
    </w:tbl>
    <w:p w14:paraId="608C9527" w14:textId="77777777" w:rsidR="00347600" w:rsidRPr="00D0163B" w:rsidRDefault="00347600" w:rsidP="00347600">
      <w:pPr>
        <w:spacing w:after="0" w:line="360" w:lineRule="auto"/>
        <w:rPr>
          <w:rFonts w:ascii="Century Gothic" w:hAnsi="Century Gothic" w:cstheme="minorHAnsi"/>
          <w:color w:val="000000" w:themeColor="text1"/>
          <w:szCs w:val="24"/>
        </w:rPr>
      </w:pPr>
      <w:bookmarkStart w:id="1" w:name="_Annexure_A_–"/>
      <w:bookmarkEnd w:id="1"/>
    </w:p>
    <w:p w14:paraId="12FA82C6" w14:textId="77777777" w:rsidR="004947AA" w:rsidRPr="00D0163B" w:rsidRDefault="004947AA" w:rsidP="00EC572F">
      <w:pPr>
        <w:spacing w:after="0" w:line="360" w:lineRule="auto"/>
        <w:rPr>
          <w:rFonts w:ascii="Century Gothic" w:hAnsi="Century Gothic" w:cstheme="minorHAnsi"/>
          <w:color w:val="000000" w:themeColor="text1"/>
          <w:szCs w:val="24"/>
        </w:rPr>
      </w:pPr>
    </w:p>
    <w:sectPr w:rsidR="004947AA" w:rsidRPr="00D0163B" w:rsidSect="000234C3">
      <w:headerReference w:type="default" r:id="rId8"/>
      <w:footerReference w:type="even" r:id="rId9"/>
      <w:footerReference w:type="default" r:id="rId10"/>
      <w:pgSz w:w="11906" w:h="16838"/>
      <w:pgMar w:top="1276" w:right="1440" w:bottom="1440"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03238" w14:textId="77777777" w:rsidR="00ED4BD0" w:rsidRDefault="00ED4BD0" w:rsidP="00EC572F">
      <w:pPr>
        <w:spacing w:after="0" w:line="240" w:lineRule="auto"/>
      </w:pPr>
      <w:r>
        <w:separator/>
      </w:r>
    </w:p>
  </w:endnote>
  <w:endnote w:type="continuationSeparator" w:id="0">
    <w:p w14:paraId="4B75809C" w14:textId="77777777" w:rsidR="00ED4BD0" w:rsidRDefault="00ED4BD0"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B749" w14:textId="77777777" w:rsidR="0015378E" w:rsidRDefault="0015378E"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15378E" w:rsidRDefault="0015378E"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215997"/>
      <w:docPartObj>
        <w:docPartGallery w:val="Page Numbers (Bottom of Page)"/>
        <w:docPartUnique/>
      </w:docPartObj>
    </w:sdtPr>
    <w:sdtEndPr>
      <w:rPr>
        <w:noProof/>
      </w:rPr>
    </w:sdtEndPr>
    <w:sdtContent>
      <w:p w14:paraId="311AB85F" w14:textId="77777777" w:rsidR="0015378E" w:rsidRDefault="0015378E" w:rsidP="000234C3">
        <w:pPr>
          <w:pStyle w:val="Footer"/>
          <w:pBdr>
            <w:top w:val="single" w:sz="4" w:space="1" w:color="auto"/>
          </w:pBdr>
          <w:ind w:right="360"/>
          <w:rPr>
            <w:sz w:val="20"/>
            <w:szCs w:val="20"/>
          </w:rPr>
        </w:pPr>
        <w:r w:rsidRPr="008644E6">
          <w:rPr>
            <w:sz w:val="20"/>
            <w:szCs w:val="20"/>
          </w:rPr>
          <w:t xml:space="preserve">Policy Name: </w:t>
        </w:r>
        <w:r>
          <w:rPr>
            <w:sz w:val="20"/>
            <w:szCs w:val="20"/>
          </w:rPr>
          <w:t xml:space="preserve">Plan Management - Payment of invoices </w:t>
        </w:r>
      </w:p>
      <w:p w14:paraId="506018B3" w14:textId="379431D1" w:rsidR="0015378E" w:rsidRPr="000234C3" w:rsidRDefault="0015378E" w:rsidP="000234C3">
        <w:pPr>
          <w:pStyle w:val="Footer"/>
          <w:pBdr>
            <w:top w:val="single" w:sz="4" w:space="1" w:color="auto"/>
          </w:pBdr>
          <w:ind w:right="360"/>
          <w:rPr>
            <w:rStyle w:val="PageNumber"/>
            <w:sz w:val="20"/>
            <w:szCs w:val="20"/>
          </w:rPr>
        </w:pPr>
        <w:r>
          <w:rPr>
            <w:sz w:val="20"/>
            <w:szCs w:val="20"/>
          </w:rPr>
          <w:t xml:space="preserve">Policy </w:t>
        </w:r>
        <w:r w:rsidRPr="00596E20">
          <w:rPr>
            <w:sz w:val="20"/>
            <w:szCs w:val="20"/>
          </w:rPr>
          <w:t>Number</w:t>
        </w:r>
        <w:r>
          <w:rPr>
            <w:sz w:val="20"/>
            <w:szCs w:val="20"/>
          </w:rPr>
          <w:t xml:space="preserve">: </w:t>
        </w:r>
        <w:r w:rsidR="00A7578A">
          <w:rPr>
            <w:sz w:val="20"/>
            <w:szCs w:val="20"/>
          </w:rPr>
          <w:t>C2</w:t>
        </w:r>
        <w:r>
          <w:rPr>
            <w:sz w:val="20"/>
            <w:szCs w:val="20"/>
          </w:rPr>
          <w:t xml:space="preserve">   </w:t>
        </w:r>
        <w:r w:rsidRPr="008644E6">
          <w:rPr>
            <w:sz w:val="20"/>
            <w:szCs w:val="20"/>
          </w:rPr>
          <w:t xml:space="preserve">Version Number: </w:t>
        </w:r>
        <w:r>
          <w:rPr>
            <w:sz w:val="20"/>
            <w:szCs w:val="20"/>
          </w:rPr>
          <w:t>V-</w:t>
        </w:r>
        <w:r w:rsidR="00A7578A">
          <w:rPr>
            <w:sz w:val="20"/>
            <w:szCs w:val="20"/>
          </w:rPr>
          <w:t>2</w:t>
        </w:r>
        <w:r>
          <w:rPr>
            <w:sz w:val="20"/>
            <w:szCs w:val="20"/>
          </w:rPr>
          <w:tab/>
        </w:r>
        <w:r>
          <w:rPr>
            <w:sz w:val="20"/>
            <w:szCs w:val="20"/>
          </w:rPr>
          <w:tab/>
        </w:r>
        <w:r w:rsidRPr="008644E6">
          <w:rPr>
            <w:rStyle w:val="PageNumber"/>
            <w:sz w:val="22"/>
          </w:rPr>
          <w:fldChar w:fldCharType="begin"/>
        </w:r>
        <w:r w:rsidRPr="008644E6">
          <w:rPr>
            <w:rStyle w:val="PageNumber"/>
            <w:sz w:val="22"/>
          </w:rPr>
          <w:instrText xml:space="preserve">PAGE  </w:instrText>
        </w:r>
        <w:r w:rsidRPr="008644E6">
          <w:rPr>
            <w:rStyle w:val="PageNumber"/>
            <w:sz w:val="22"/>
          </w:rPr>
          <w:fldChar w:fldCharType="separate"/>
        </w:r>
        <w:r w:rsidR="00750DF3">
          <w:rPr>
            <w:rStyle w:val="PageNumber"/>
            <w:noProof/>
            <w:sz w:val="22"/>
          </w:rPr>
          <w:t>2</w:t>
        </w:r>
        <w:r w:rsidRPr="008644E6">
          <w:rPr>
            <w:rStyle w:val="PageNumber"/>
            <w:sz w:val="22"/>
          </w:rPr>
          <w:fldChar w:fldCharType="end"/>
        </w:r>
      </w:p>
      <w:p w14:paraId="11A07474" w14:textId="77777777" w:rsidR="0015378E" w:rsidRPr="008644E6" w:rsidRDefault="0015378E" w:rsidP="00177F88">
        <w:pPr>
          <w:pStyle w:val="Footer"/>
          <w:framePr w:wrap="around" w:vAnchor="text" w:hAnchor="margin" w:xAlign="right" w:y="85"/>
          <w:ind w:right="360"/>
          <w:rPr>
            <w:rStyle w:val="PageNumber"/>
            <w:sz w:val="22"/>
          </w:rPr>
        </w:pPr>
      </w:p>
      <w:p w14:paraId="55C63537" w14:textId="1254DB6E" w:rsidR="0015378E" w:rsidRDefault="0015378E" w:rsidP="00085EE6">
        <w:pPr>
          <w:pStyle w:val="Footer"/>
        </w:pPr>
        <w:r>
          <w:tab/>
          <w:t xml:space="preserve"> </w:t>
        </w:r>
      </w:p>
      <w:p w14:paraId="1BCA89B6" w14:textId="0A06E44A" w:rsidR="0015378E" w:rsidRDefault="0015378E" w:rsidP="00085EE6">
        <w:pPr>
          <w:pStyle w:val="Footer"/>
        </w:pPr>
        <w:r>
          <w:tab/>
        </w:r>
      </w:p>
      <w:p w14:paraId="7CB4354B" w14:textId="36A6A885" w:rsidR="0015378E" w:rsidRDefault="0015378E">
        <w:pPr>
          <w:pStyle w:val="Footer"/>
          <w:jc w:val="center"/>
        </w:pPr>
        <w:r>
          <w:t xml:space="preserve"> </w:t>
        </w:r>
      </w:p>
    </w:sdtContent>
  </w:sdt>
  <w:p w14:paraId="286D79BB" w14:textId="77777777" w:rsidR="0015378E" w:rsidRDefault="00153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24B2" w14:textId="77777777" w:rsidR="00ED4BD0" w:rsidRDefault="00ED4BD0" w:rsidP="00EC572F">
      <w:pPr>
        <w:spacing w:after="0" w:line="240" w:lineRule="auto"/>
      </w:pPr>
      <w:r>
        <w:separator/>
      </w:r>
    </w:p>
  </w:footnote>
  <w:footnote w:type="continuationSeparator" w:id="0">
    <w:p w14:paraId="1767A681" w14:textId="77777777" w:rsidR="00ED4BD0" w:rsidRDefault="00ED4BD0"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EC08" w14:textId="218CDFE6" w:rsidR="0015378E" w:rsidRDefault="0015378E" w:rsidP="00085EE6">
    <w:pPr>
      <w:pStyle w:val="Header"/>
    </w:pPr>
    <w:r>
      <w:rPr>
        <w:noProof/>
        <w:lang w:val="en-US"/>
      </w:rPr>
      <w:drawing>
        <wp:anchor distT="0" distB="0" distL="114300" distR="114300" simplePos="0" relativeHeight="251659264" behindDoc="0" locked="0" layoutInCell="1" allowOverlap="1" wp14:anchorId="29F73AED" wp14:editId="748ADAE1">
          <wp:simplePos x="0" y="0"/>
          <wp:positionH relativeFrom="column">
            <wp:posOffset>3886200</wp:posOffset>
          </wp:positionH>
          <wp:positionV relativeFrom="paragraph">
            <wp:posOffset>-379730</wp:posOffset>
          </wp:positionV>
          <wp:extent cx="2057400" cy="1223010"/>
          <wp:effectExtent l="0" t="0" r="0" b="0"/>
          <wp:wrapTight wrapText="bothSides">
            <wp:wrapPolygon edited="0">
              <wp:start x="0" y="0"/>
              <wp:lineTo x="0" y="21084"/>
              <wp:lineTo x="21333" y="21084"/>
              <wp:lineTo x="21333" y="0"/>
              <wp:lineTo x="0" y="0"/>
            </wp:wrapPolygon>
          </wp:wrapTight>
          <wp:docPr id="2" name="Picture 2" descr="Macintosh HD:Users:barbelwinter:Desktop:futures insight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belwinter:Desktop:futures insight logo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AE55F" w14:textId="47EE21D5" w:rsidR="0015378E" w:rsidRDefault="0015378E" w:rsidP="00085EE6">
    <w:pPr>
      <w:pStyle w:val="Header"/>
    </w:pPr>
  </w:p>
  <w:p w14:paraId="721E27A7" w14:textId="77777777" w:rsidR="0015378E" w:rsidRDefault="0015378E" w:rsidP="00085EE6">
    <w:pPr>
      <w:pStyle w:val="Header"/>
    </w:pPr>
  </w:p>
  <w:p w14:paraId="09E43013" w14:textId="27AA055D" w:rsidR="0015378E" w:rsidRDefault="0015378E" w:rsidP="003E45C2">
    <w:pPr>
      <w:pStyle w:val="Header"/>
      <w:tabs>
        <w:tab w:val="clear" w:pos="4513"/>
        <w:tab w:val="clear" w:pos="9026"/>
        <w:tab w:val="left" w:pos="2100"/>
      </w:tabs>
    </w:pPr>
    <w:r>
      <w:tab/>
    </w:r>
  </w:p>
  <w:p w14:paraId="085A56A2" w14:textId="66F0564C" w:rsidR="0015378E" w:rsidRPr="00085EE6" w:rsidRDefault="0015378E"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11402A1"/>
    <w:multiLevelType w:val="hybridMultilevel"/>
    <w:tmpl w:val="3186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20A5F"/>
    <w:multiLevelType w:val="hybridMultilevel"/>
    <w:tmpl w:val="3C3ADABC"/>
    <w:lvl w:ilvl="0" w:tplc="B0DA2D86">
      <w:start w:val="1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A25037"/>
    <w:multiLevelType w:val="hybridMultilevel"/>
    <w:tmpl w:val="1BEE0298"/>
    <w:lvl w:ilvl="0" w:tplc="B0DA2D86">
      <w:start w:val="1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C47B7"/>
    <w:multiLevelType w:val="multilevel"/>
    <w:tmpl w:val="F3D8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65C87"/>
    <w:multiLevelType w:val="hybridMultilevel"/>
    <w:tmpl w:val="FD8A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05586"/>
    <w:multiLevelType w:val="hybridMultilevel"/>
    <w:tmpl w:val="8E8E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A75B51"/>
    <w:multiLevelType w:val="multilevel"/>
    <w:tmpl w:val="D840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E65F6"/>
    <w:multiLevelType w:val="hybridMultilevel"/>
    <w:tmpl w:val="C074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D0923"/>
    <w:multiLevelType w:val="multilevel"/>
    <w:tmpl w:val="66B8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5C39A9"/>
    <w:multiLevelType w:val="hybridMultilevel"/>
    <w:tmpl w:val="A83C909A"/>
    <w:lvl w:ilvl="0" w:tplc="B0DA2D86">
      <w:start w:val="1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246C11"/>
    <w:multiLevelType w:val="multilevel"/>
    <w:tmpl w:val="4EC0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B04374"/>
    <w:multiLevelType w:val="hybridMultilevel"/>
    <w:tmpl w:val="FE62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E7575"/>
    <w:multiLevelType w:val="hybridMultilevel"/>
    <w:tmpl w:val="D406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A6B1D"/>
    <w:multiLevelType w:val="hybridMultilevel"/>
    <w:tmpl w:val="E90E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F72CB1"/>
    <w:multiLevelType w:val="hybridMultilevel"/>
    <w:tmpl w:val="7382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B02FE"/>
    <w:multiLevelType w:val="hybridMultilevel"/>
    <w:tmpl w:val="0B74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334A0"/>
    <w:multiLevelType w:val="hybridMultilevel"/>
    <w:tmpl w:val="5766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0"/>
  </w:num>
  <w:num w:numId="4">
    <w:abstractNumId w:val="14"/>
  </w:num>
  <w:num w:numId="5">
    <w:abstractNumId w:val="4"/>
  </w:num>
  <w:num w:numId="6">
    <w:abstractNumId w:val="6"/>
  </w:num>
  <w:num w:numId="7">
    <w:abstractNumId w:val="20"/>
  </w:num>
  <w:num w:numId="8">
    <w:abstractNumId w:val="22"/>
  </w:num>
  <w:num w:numId="9">
    <w:abstractNumId w:val="24"/>
  </w:num>
  <w:num w:numId="10">
    <w:abstractNumId w:val="2"/>
  </w:num>
  <w:num w:numId="11">
    <w:abstractNumId w:val="3"/>
  </w:num>
  <w:num w:numId="12">
    <w:abstractNumId w:val="15"/>
  </w:num>
  <w:num w:numId="13">
    <w:abstractNumId w:val="12"/>
  </w:num>
  <w:num w:numId="14">
    <w:abstractNumId w:val="17"/>
  </w:num>
  <w:num w:numId="15">
    <w:abstractNumId w:val="25"/>
  </w:num>
  <w:num w:numId="16">
    <w:abstractNumId w:val="9"/>
  </w:num>
  <w:num w:numId="17">
    <w:abstractNumId w:val="21"/>
  </w:num>
  <w:num w:numId="18">
    <w:abstractNumId w:val="11"/>
  </w:num>
  <w:num w:numId="19">
    <w:abstractNumId w:val="13"/>
  </w:num>
  <w:num w:numId="20">
    <w:abstractNumId w:val="19"/>
  </w:num>
  <w:num w:numId="21">
    <w:abstractNumId w:val="23"/>
  </w:num>
  <w:num w:numId="22">
    <w:abstractNumId w:val="7"/>
  </w:num>
  <w:num w:numId="23">
    <w:abstractNumId w:val="16"/>
  </w:num>
  <w:num w:numId="24">
    <w:abstractNumId w:val="8"/>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03"/>
    <w:rsid w:val="000234C3"/>
    <w:rsid w:val="00036F6E"/>
    <w:rsid w:val="000661FA"/>
    <w:rsid w:val="00085EE6"/>
    <w:rsid w:val="000B69AE"/>
    <w:rsid w:val="000C11D5"/>
    <w:rsid w:val="000D517E"/>
    <w:rsid w:val="00105806"/>
    <w:rsid w:val="00133617"/>
    <w:rsid w:val="001508D8"/>
    <w:rsid w:val="0015265C"/>
    <w:rsid w:val="0015378E"/>
    <w:rsid w:val="00161C30"/>
    <w:rsid w:val="00177F88"/>
    <w:rsid w:val="00181FCD"/>
    <w:rsid w:val="001B3CF2"/>
    <w:rsid w:val="001C0C73"/>
    <w:rsid w:val="001C62FC"/>
    <w:rsid w:val="001D507B"/>
    <w:rsid w:val="001E4473"/>
    <w:rsid w:val="00273720"/>
    <w:rsid w:val="00292558"/>
    <w:rsid w:val="002A6252"/>
    <w:rsid w:val="002B7C39"/>
    <w:rsid w:val="002C5FAF"/>
    <w:rsid w:val="002F6EF8"/>
    <w:rsid w:val="0030663F"/>
    <w:rsid w:val="00347600"/>
    <w:rsid w:val="00350F23"/>
    <w:rsid w:val="003A342E"/>
    <w:rsid w:val="003B6BC8"/>
    <w:rsid w:val="003E45C2"/>
    <w:rsid w:val="003F49E9"/>
    <w:rsid w:val="0042353B"/>
    <w:rsid w:val="004411F0"/>
    <w:rsid w:val="00446706"/>
    <w:rsid w:val="004575C5"/>
    <w:rsid w:val="004924C0"/>
    <w:rsid w:val="004947AA"/>
    <w:rsid w:val="00496A3C"/>
    <w:rsid w:val="004F5FFE"/>
    <w:rsid w:val="005317F3"/>
    <w:rsid w:val="00555B03"/>
    <w:rsid w:val="0056650E"/>
    <w:rsid w:val="0058094B"/>
    <w:rsid w:val="00604B1A"/>
    <w:rsid w:val="006B676C"/>
    <w:rsid w:val="006D25A3"/>
    <w:rsid w:val="00700D41"/>
    <w:rsid w:val="00750DF3"/>
    <w:rsid w:val="00787A3E"/>
    <w:rsid w:val="007B0871"/>
    <w:rsid w:val="007B2414"/>
    <w:rsid w:val="007F2382"/>
    <w:rsid w:val="0084514B"/>
    <w:rsid w:val="008644E6"/>
    <w:rsid w:val="0087509A"/>
    <w:rsid w:val="00875D96"/>
    <w:rsid w:val="00892B31"/>
    <w:rsid w:val="008F6F1C"/>
    <w:rsid w:val="00935D22"/>
    <w:rsid w:val="00954D76"/>
    <w:rsid w:val="00960D28"/>
    <w:rsid w:val="009F4FA5"/>
    <w:rsid w:val="00A17C84"/>
    <w:rsid w:val="00A57465"/>
    <w:rsid w:val="00A7578A"/>
    <w:rsid w:val="00A96B67"/>
    <w:rsid w:val="00AA2A14"/>
    <w:rsid w:val="00AB085B"/>
    <w:rsid w:val="00B17200"/>
    <w:rsid w:val="00B21173"/>
    <w:rsid w:val="00B267BA"/>
    <w:rsid w:val="00B34B86"/>
    <w:rsid w:val="00B4162E"/>
    <w:rsid w:val="00B51645"/>
    <w:rsid w:val="00B52BCB"/>
    <w:rsid w:val="00B87BE8"/>
    <w:rsid w:val="00BA541F"/>
    <w:rsid w:val="00BC65F1"/>
    <w:rsid w:val="00BE4E4B"/>
    <w:rsid w:val="00C20438"/>
    <w:rsid w:val="00C21A04"/>
    <w:rsid w:val="00C244E7"/>
    <w:rsid w:val="00C31984"/>
    <w:rsid w:val="00C3713D"/>
    <w:rsid w:val="00C410C2"/>
    <w:rsid w:val="00C56038"/>
    <w:rsid w:val="00C749F2"/>
    <w:rsid w:val="00CA4C22"/>
    <w:rsid w:val="00D0163B"/>
    <w:rsid w:val="00D42490"/>
    <w:rsid w:val="00D60165"/>
    <w:rsid w:val="00D7186E"/>
    <w:rsid w:val="00D7667B"/>
    <w:rsid w:val="00DB210C"/>
    <w:rsid w:val="00DF6EA5"/>
    <w:rsid w:val="00E008A1"/>
    <w:rsid w:val="00E043EA"/>
    <w:rsid w:val="00E119A0"/>
    <w:rsid w:val="00EA2FB2"/>
    <w:rsid w:val="00EA794E"/>
    <w:rsid w:val="00EC1121"/>
    <w:rsid w:val="00EC559F"/>
    <w:rsid w:val="00EC572F"/>
    <w:rsid w:val="00ED4BD0"/>
    <w:rsid w:val="00EE2569"/>
    <w:rsid w:val="00F0102A"/>
    <w:rsid w:val="00F141A6"/>
    <w:rsid w:val="00F401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587BF"/>
  <w15:docId w15:val="{1380B505-C173-1C47-81D9-A4671CE9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71"/>
    <w:rPr>
      <w:rFonts w:ascii="Arial" w:hAnsi="Arial"/>
      <w:sz w:val="24"/>
    </w:rPr>
  </w:style>
  <w:style w:type="paragraph" w:styleId="Heading1">
    <w:name w:val="heading 1"/>
    <w:basedOn w:val="Normal"/>
    <w:next w:val="Normal"/>
    <w:link w:val="Heading1Char"/>
    <w:autoRedefine/>
    <w:uiPriority w:val="9"/>
    <w:qFormat/>
    <w:rsid w:val="008644E6"/>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8644E6"/>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100"/>
      <w:ind w:left="480"/>
    </w:pPr>
  </w:style>
  <w:style w:type="paragraph" w:styleId="NoSpacing">
    <w:name w:val="No Spacing"/>
    <w:uiPriority w:val="1"/>
    <w:qFormat/>
    <w:rsid w:val="00EA2FB2"/>
    <w:pPr>
      <w:spacing w:after="0" w:line="240" w:lineRule="auto"/>
    </w:pPr>
    <w:rPr>
      <w:rFonts w:ascii="Arial" w:hAnsi="Arial"/>
      <w:sz w:val="24"/>
    </w:rPr>
  </w:style>
  <w:style w:type="paragraph" w:styleId="PlainText">
    <w:name w:val="Plain Text"/>
    <w:basedOn w:val="Normal"/>
    <w:link w:val="PlainTextChar"/>
    <w:rsid w:val="006D25A3"/>
    <w:pPr>
      <w:spacing w:after="36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6D25A3"/>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94111">
      <w:bodyDiv w:val="1"/>
      <w:marLeft w:val="0"/>
      <w:marRight w:val="0"/>
      <w:marTop w:val="0"/>
      <w:marBottom w:val="0"/>
      <w:divBdr>
        <w:top w:val="none" w:sz="0" w:space="0" w:color="auto"/>
        <w:left w:val="none" w:sz="0" w:space="0" w:color="auto"/>
        <w:bottom w:val="none" w:sz="0" w:space="0" w:color="auto"/>
        <w:right w:val="none" w:sz="0" w:space="0" w:color="auto"/>
      </w:divBdr>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706551">
      <w:bodyDiv w:val="1"/>
      <w:marLeft w:val="0"/>
      <w:marRight w:val="0"/>
      <w:marTop w:val="0"/>
      <w:marBottom w:val="0"/>
      <w:divBdr>
        <w:top w:val="none" w:sz="0" w:space="0" w:color="auto"/>
        <w:left w:val="none" w:sz="0" w:space="0" w:color="auto"/>
        <w:bottom w:val="none" w:sz="0" w:space="0" w:color="auto"/>
        <w:right w:val="none" w:sz="0" w:space="0" w:color="auto"/>
      </w:divBdr>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BD9F-22C9-1648-921F-D550D604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Barbel Winter</cp:lastModifiedBy>
  <cp:revision>3</cp:revision>
  <cp:lastPrinted>2015-04-21T02:31:00Z</cp:lastPrinted>
  <dcterms:created xsi:type="dcterms:W3CDTF">2019-12-01T03:56:00Z</dcterms:created>
  <dcterms:modified xsi:type="dcterms:W3CDTF">2020-02-27T23:04:00Z</dcterms:modified>
  <cp:category/>
</cp:coreProperties>
</file>