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A043D" w14:textId="2321589A" w:rsidR="0007082D" w:rsidRPr="0007082D" w:rsidRDefault="001B1DE5" w:rsidP="0007082D">
      <w:pPr>
        <w:pStyle w:val="Heading1"/>
        <w:rPr>
          <w:color w:val="00A19B"/>
        </w:rPr>
      </w:pPr>
      <w:r w:rsidRPr="0007082D">
        <w:rPr>
          <w:color w:val="00A19B"/>
        </w:rPr>
        <w:t>Decision Making and Consent</w:t>
      </w:r>
      <w:r w:rsidR="0007082D" w:rsidRPr="0007082D">
        <w:rPr>
          <w:color w:val="00A19B"/>
        </w:rPr>
        <w:t xml:space="preserve"> </w:t>
      </w:r>
      <w:bookmarkStart w:id="0" w:name="_Toc310601350"/>
      <w:r w:rsidR="0007082D" w:rsidRPr="0007082D">
        <w:rPr>
          <w:color w:val="00A19B"/>
        </w:rPr>
        <w:t>Policy</w:t>
      </w:r>
      <w:bookmarkEnd w:id="0"/>
    </w:p>
    <w:p w14:paraId="023270D4" w14:textId="77777777" w:rsidR="00C31984" w:rsidRPr="003257D7" w:rsidRDefault="00C31984" w:rsidP="005D3DB0">
      <w:pPr>
        <w:pStyle w:val="Heading2"/>
      </w:pPr>
      <w:bookmarkStart w:id="1" w:name="_Toc310620520"/>
      <w:r w:rsidRPr="003257D7">
        <w:t>Policy</w:t>
      </w:r>
      <w:bookmarkEnd w:id="1"/>
    </w:p>
    <w:p w14:paraId="16D15425" w14:textId="015F0FE8" w:rsidR="003257D7" w:rsidRPr="003257D7" w:rsidRDefault="003257D7" w:rsidP="005D3DB0">
      <w:pPr>
        <w:spacing w:after="120"/>
        <w:jc w:val="both"/>
        <w:rPr>
          <w:rFonts w:cs="Arial"/>
        </w:rPr>
      </w:pPr>
      <w:r w:rsidRPr="0007082D">
        <w:rPr>
          <w:i/>
        </w:rPr>
        <w:t>futures in sight</w:t>
      </w:r>
      <w:r w:rsidRPr="003257D7">
        <w:t xml:space="preserve"> </w:t>
      </w:r>
      <w:r w:rsidR="00DA3ED0">
        <w:t>p</w:t>
      </w:r>
      <w:r w:rsidRPr="003257D7">
        <w:t xml:space="preserve">resumes that people with disability have capacity to make decisions. This presumption underpins all of our work alongside people </w:t>
      </w:r>
      <w:r w:rsidRPr="003257D7">
        <w:rPr>
          <w:rFonts w:cs="Arial"/>
        </w:rPr>
        <w:t xml:space="preserve">disability and their families. </w:t>
      </w:r>
    </w:p>
    <w:p w14:paraId="7795CDDB" w14:textId="36F1DC72" w:rsidR="003257D7" w:rsidRDefault="003257D7" w:rsidP="005D3DB0">
      <w:pPr>
        <w:spacing w:after="120"/>
        <w:jc w:val="both"/>
        <w:rPr>
          <w:rFonts w:cs="Arial"/>
        </w:rPr>
      </w:pPr>
      <w:r w:rsidRPr="003257D7">
        <w:rPr>
          <w:rFonts w:cs="Arial"/>
        </w:rPr>
        <w:t xml:space="preserve">We are committed to support decision making for everyone, be that with the person with disability, their family or other decision making supporters. </w:t>
      </w:r>
    </w:p>
    <w:p w14:paraId="78D272AF" w14:textId="4536EE59" w:rsidR="00DA3ED0" w:rsidRPr="003257D7" w:rsidRDefault="00DA3ED0" w:rsidP="005D3DB0">
      <w:pPr>
        <w:spacing w:after="120"/>
        <w:jc w:val="both"/>
        <w:rPr>
          <w:rFonts w:cs="Arial"/>
        </w:rPr>
      </w:pPr>
      <w:r>
        <w:rPr>
          <w:rFonts w:cs="Arial"/>
        </w:rPr>
        <w:t>We work together with each person we support by providing information in a timely and accessible manner.</w:t>
      </w:r>
    </w:p>
    <w:p w14:paraId="34149E76" w14:textId="77777777" w:rsidR="003B6BC8" w:rsidRPr="003257D7" w:rsidRDefault="00555B03" w:rsidP="005D3DB0">
      <w:pPr>
        <w:pStyle w:val="Heading2"/>
        <w:spacing w:before="0"/>
      </w:pPr>
      <w:bookmarkStart w:id="2" w:name="_Toc310620521"/>
      <w:r w:rsidRPr="003257D7">
        <w:rPr>
          <w:rStyle w:val="Heading2Char"/>
          <w:b/>
          <w:bCs/>
        </w:rPr>
        <w:t>Scope</w:t>
      </w:r>
      <w:bookmarkEnd w:id="2"/>
      <w:r w:rsidRPr="003257D7">
        <w:t xml:space="preserve"> </w:t>
      </w:r>
    </w:p>
    <w:p w14:paraId="4D90310D" w14:textId="13DC2641" w:rsidR="0015265C" w:rsidRPr="003257D7" w:rsidRDefault="0015265C" w:rsidP="005D3DB0">
      <w:pPr>
        <w:rPr>
          <w:rFonts w:cs="Arial"/>
          <w:szCs w:val="24"/>
        </w:rPr>
      </w:pPr>
      <w:r w:rsidRPr="003257D7">
        <w:rPr>
          <w:rFonts w:cs="Arial"/>
          <w:szCs w:val="24"/>
        </w:rPr>
        <w:t>futures in sight partners</w:t>
      </w:r>
      <w:r w:rsidR="003257D7" w:rsidRPr="003257D7">
        <w:rPr>
          <w:rFonts w:cs="Arial"/>
          <w:szCs w:val="24"/>
        </w:rPr>
        <w:t>, contractors, volunteer and Advisory Panel</w:t>
      </w:r>
    </w:p>
    <w:p w14:paraId="39A1EC62" w14:textId="4D9DFA46" w:rsidR="00FE750A" w:rsidRDefault="00FE750A" w:rsidP="005D3DB0">
      <w:pPr>
        <w:pStyle w:val="Heading2"/>
        <w:spacing w:before="0"/>
      </w:pPr>
      <w:bookmarkStart w:id="3" w:name="_Toc310620522"/>
      <w:r>
        <w:t>Legislation</w:t>
      </w:r>
    </w:p>
    <w:p w14:paraId="05967728" w14:textId="39EDF512" w:rsidR="00FE750A" w:rsidRPr="00FE750A" w:rsidRDefault="00FE750A" w:rsidP="00FE750A">
      <w:pPr>
        <w:pStyle w:val="ListParagraph"/>
        <w:numPr>
          <w:ilvl w:val="0"/>
          <w:numId w:val="10"/>
        </w:numPr>
        <w:spacing w:after="120"/>
      </w:pPr>
      <w:r w:rsidRPr="00FE750A">
        <w:t xml:space="preserve">NSW </w:t>
      </w:r>
      <w:r w:rsidR="00BF426C" w:rsidRPr="00FE750A">
        <w:t>Disability</w:t>
      </w:r>
      <w:r w:rsidRPr="00FE750A">
        <w:t xml:space="preserve"> Inclusion Act 2015</w:t>
      </w:r>
    </w:p>
    <w:p w14:paraId="3E698D01" w14:textId="7865DEEB" w:rsidR="00FE750A" w:rsidRPr="00FE750A" w:rsidRDefault="00FE750A" w:rsidP="00FE750A">
      <w:pPr>
        <w:pStyle w:val="ListParagraph"/>
        <w:numPr>
          <w:ilvl w:val="0"/>
          <w:numId w:val="10"/>
        </w:numPr>
        <w:spacing w:after="120"/>
      </w:pPr>
      <w:r w:rsidRPr="00FE750A">
        <w:t>Guardianship Act 1987 (NSW)</w:t>
      </w:r>
    </w:p>
    <w:p w14:paraId="2105253A" w14:textId="13F62C1E" w:rsidR="00F401B4" w:rsidRPr="003257D7" w:rsidRDefault="00555B03" w:rsidP="005D3DB0">
      <w:pPr>
        <w:pStyle w:val="Heading2"/>
        <w:spacing w:before="0"/>
      </w:pPr>
      <w:r w:rsidRPr="003257D7">
        <w:t>Principles</w:t>
      </w:r>
      <w:bookmarkEnd w:id="3"/>
    </w:p>
    <w:p w14:paraId="0497F807" w14:textId="60E735DB" w:rsidR="003257D7" w:rsidRPr="003257D7" w:rsidRDefault="003257D7" w:rsidP="005D3DB0">
      <w:pPr>
        <w:spacing w:after="120"/>
      </w:pPr>
      <w:r w:rsidRPr="0007082D">
        <w:rPr>
          <w:rFonts w:cs="Arial"/>
          <w:i/>
          <w:szCs w:val="24"/>
        </w:rPr>
        <w:t>futures in sight</w:t>
      </w:r>
      <w:r w:rsidRPr="003257D7">
        <w:rPr>
          <w:rFonts w:cs="Arial"/>
          <w:szCs w:val="24"/>
        </w:rPr>
        <w:t xml:space="preserve"> </w:t>
      </w:r>
      <w:r w:rsidRPr="003257D7">
        <w:t>requires people associated with the company to operate from the following principles:</w:t>
      </w:r>
    </w:p>
    <w:p w14:paraId="5512C7D5" w14:textId="129AFBE6" w:rsidR="003257D7" w:rsidRPr="003257D7" w:rsidRDefault="003257D7" w:rsidP="005D3DB0">
      <w:pPr>
        <w:pStyle w:val="ListParagraph"/>
        <w:numPr>
          <w:ilvl w:val="0"/>
          <w:numId w:val="10"/>
        </w:numPr>
        <w:spacing w:after="120"/>
      </w:pPr>
      <w:r w:rsidRPr="003257D7">
        <w:t>Every person is presumed to have capacity to make their own decisions</w:t>
      </w:r>
    </w:p>
    <w:p w14:paraId="4C89256C" w14:textId="5EBE71A2" w:rsidR="003257D7" w:rsidRPr="003257D7" w:rsidRDefault="003257D7" w:rsidP="005D3DB0">
      <w:pPr>
        <w:pStyle w:val="ListParagraph"/>
        <w:numPr>
          <w:ilvl w:val="0"/>
          <w:numId w:val="10"/>
        </w:numPr>
        <w:spacing w:after="120"/>
      </w:pPr>
      <w:r w:rsidRPr="003257D7">
        <w:t>A presumption of capacity applies each time a person is required to make a decision about a new issue or in a new situation</w:t>
      </w:r>
    </w:p>
    <w:p w14:paraId="446D816B" w14:textId="0A9DC106" w:rsidR="003257D7" w:rsidRPr="003257D7" w:rsidRDefault="003257D7" w:rsidP="005D3DB0">
      <w:pPr>
        <w:pStyle w:val="ListParagraph"/>
        <w:numPr>
          <w:ilvl w:val="0"/>
          <w:numId w:val="10"/>
        </w:numPr>
        <w:spacing w:after="120"/>
      </w:pPr>
      <w:r w:rsidRPr="009B2358">
        <w:rPr>
          <w:rFonts w:cs="Arial"/>
          <w:i/>
          <w:szCs w:val="24"/>
        </w:rPr>
        <w:t>futures in sight</w:t>
      </w:r>
      <w:r w:rsidRPr="003257D7">
        <w:rPr>
          <w:rFonts w:cs="Arial"/>
          <w:szCs w:val="24"/>
        </w:rPr>
        <w:t xml:space="preserve"> </w:t>
      </w:r>
      <w:r w:rsidRPr="003257D7">
        <w:t>recognizes that many people we support require good support to make decisions</w:t>
      </w:r>
      <w:r w:rsidR="00C92551">
        <w:t xml:space="preserve">, including accessible information and time to think about the options and choices, </w:t>
      </w:r>
      <w:r w:rsidRPr="003257D7">
        <w:t>and that they rely on decision making supporters to assist them to develop their skills to make decisions</w:t>
      </w:r>
    </w:p>
    <w:p w14:paraId="380AAFE7" w14:textId="2EC1845F" w:rsidR="003257D7" w:rsidRPr="003257D7" w:rsidRDefault="003257D7" w:rsidP="005D3DB0">
      <w:pPr>
        <w:pStyle w:val="ListParagraph"/>
        <w:numPr>
          <w:ilvl w:val="0"/>
          <w:numId w:val="10"/>
        </w:numPr>
        <w:spacing w:after="120"/>
      </w:pPr>
      <w:r w:rsidRPr="009B2358">
        <w:rPr>
          <w:rFonts w:cs="Arial"/>
          <w:i/>
          <w:szCs w:val="24"/>
        </w:rPr>
        <w:t>futures in sight</w:t>
      </w:r>
      <w:r w:rsidRPr="003257D7">
        <w:rPr>
          <w:rFonts w:cs="Arial"/>
          <w:szCs w:val="24"/>
        </w:rPr>
        <w:t xml:space="preserve"> </w:t>
      </w:r>
      <w:r w:rsidRPr="003257D7">
        <w:t>supports decision making supporters to have what they need to support decision making including high expectations, strong commitment and a tool box of strategies ready to be tailored to each individual and to each decision</w:t>
      </w:r>
    </w:p>
    <w:p w14:paraId="58C55DFD" w14:textId="77777777" w:rsidR="003B6BC8" w:rsidRPr="003257D7" w:rsidRDefault="003B6BC8" w:rsidP="005D3DB0">
      <w:pPr>
        <w:pStyle w:val="Heading2"/>
      </w:pPr>
      <w:bookmarkStart w:id="4" w:name="_Toc310620523"/>
      <w:r w:rsidRPr="003257D7">
        <w:lastRenderedPageBreak/>
        <w:t>Procedure</w:t>
      </w:r>
      <w:bookmarkEnd w:id="4"/>
    </w:p>
    <w:p w14:paraId="77D96803" w14:textId="0D19D7EF" w:rsidR="003257D7" w:rsidRPr="0007082D" w:rsidRDefault="003257D7" w:rsidP="005D3DB0">
      <w:pPr>
        <w:spacing w:after="120"/>
        <w:rPr>
          <w:rFonts w:cs="Arial"/>
        </w:rPr>
      </w:pPr>
      <w:r w:rsidRPr="0007082D">
        <w:rPr>
          <w:rFonts w:cs="Arial"/>
        </w:rPr>
        <w:t xml:space="preserve">In accordance with </w:t>
      </w:r>
      <w:r w:rsidR="00C9069E" w:rsidRPr="0007082D">
        <w:rPr>
          <w:rFonts w:cs="Arial"/>
          <w:i/>
        </w:rPr>
        <w:t>futures in sight</w:t>
      </w:r>
      <w:r w:rsidRPr="0007082D">
        <w:rPr>
          <w:rFonts w:cs="Arial"/>
        </w:rPr>
        <w:t xml:space="preserve"> principles, </w:t>
      </w:r>
      <w:r w:rsidR="00C9069E" w:rsidRPr="0007082D">
        <w:rPr>
          <w:rFonts w:cs="Arial"/>
          <w:i/>
        </w:rPr>
        <w:t>futures in sight</w:t>
      </w:r>
      <w:r w:rsidRPr="0007082D">
        <w:rPr>
          <w:rFonts w:cs="Arial"/>
        </w:rPr>
        <w:t xml:space="preserve"> assists people to sort decisions</w:t>
      </w:r>
      <w:r w:rsidRPr="0007082D">
        <w:rPr>
          <w:rStyle w:val="FootnoteReference"/>
          <w:rFonts w:cs="Arial"/>
        </w:rPr>
        <w:footnoteReference w:id="1"/>
      </w:r>
      <w:r w:rsidRPr="0007082D">
        <w:rPr>
          <w:rFonts w:cs="Arial"/>
        </w:rPr>
        <w:t xml:space="preserve"> into: </w:t>
      </w:r>
    </w:p>
    <w:p w14:paraId="6A78355F" w14:textId="77777777" w:rsidR="003257D7" w:rsidRPr="0007082D" w:rsidRDefault="003257D7" w:rsidP="005D3DB0">
      <w:pPr>
        <w:pStyle w:val="ListParagraph"/>
        <w:numPr>
          <w:ilvl w:val="0"/>
          <w:numId w:val="12"/>
        </w:numPr>
        <w:spacing w:after="120"/>
        <w:rPr>
          <w:rFonts w:cs="Arial"/>
        </w:rPr>
      </w:pPr>
      <w:r w:rsidRPr="0007082D">
        <w:rPr>
          <w:rFonts w:cs="Arial"/>
        </w:rPr>
        <w:t xml:space="preserve">self-generated decisions, </w:t>
      </w:r>
    </w:p>
    <w:p w14:paraId="20A46823" w14:textId="77777777" w:rsidR="003257D7" w:rsidRPr="0007082D" w:rsidRDefault="003257D7" w:rsidP="005D3DB0">
      <w:pPr>
        <w:pStyle w:val="ListParagraph"/>
        <w:numPr>
          <w:ilvl w:val="0"/>
          <w:numId w:val="12"/>
        </w:numPr>
        <w:spacing w:after="120"/>
        <w:rPr>
          <w:rFonts w:cs="Arial"/>
        </w:rPr>
      </w:pPr>
      <w:r w:rsidRPr="0007082D">
        <w:rPr>
          <w:rFonts w:cs="Arial"/>
        </w:rPr>
        <w:t xml:space="preserve">shared decisions and </w:t>
      </w:r>
    </w:p>
    <w:p w14:paraId="5E3BCC66" w14:textId="77777777" w:rsidR="003257D7" w:rsidRPr="0007082D" w:rsidRDefault="003257D7" w:rsidP="005D3DB0">
      <w:pPr>
        <w:pStyle w:val="ListParagraph"/>
        <w:numPr>
          <w:ilvl w:val="0"/>
          <w:numId w:val="12"/>
        </w:numPr>
        <w:spacing w:after="120"/>
        <w:rPr>
          <w:rFonts w:cs="Arial"/>
        </w:rPr>
      </w:pPr>
      <w:r w:rsidRPr="0007082D">
        <w:rPr>
          <w:rFonts w:cs="Arial"/>
        </w:rPr>
        <w:t xml:space="preserve">substitute decisions. </w:t>
      </w:r>
    </w:p>
    <w:p w14:paraId="371D3C0C" w14:textId="77777777" w:rsidR="003257D7" w:rsidRPr="0007082D" w:rsidRDefault="003257D7" w:rsidP="005D3DB0">
      <w:r w:rsidRPr="0007082D">
        <w:t xml:space="preserve">This differentiation provides guidance as to the nature of support required for decision making. </w:t>
      </w:r>
    </w:p>
    <w:p w14:paraId="77956DC6" w14:textId="77777777" w:rsidR="003257D7" w:rsidRPr="0007082D" w:rsidRDefault="003257D7" w:rsidP="005D3DB0">
      <w:pPr>
        <w:pStyle w:val="ListParagraph"/>
        <w:numPr>
          <w:ilvl w:val="0"/>
          <w:numId w:val="13"/>
        </w:numPr>
        <w:spacing w:after="120"/>
        <w:rPr>
          <w:rFonts w:cs="Arial"/>
          <w:u w:val="single"/>
        </w:rPr>
      </w:pPr>
      <w:r w:rsidRPr="0007082D">
        <w:rPr>
          <w:rFonts w:cs="Arial"/>
          <w:u w:val="single"/>
        </w:rPr>
        <w:t>For Self generated decisions:</w:t>
      </w:r>
    </w:p>
    <w:p w14:paraId="3AA147D4" w14:textId="20B6942B" w:rsidR="003257D7" w:rsidRPr="0007082D" w:rsidRDefault="003257D7" w:rsidP="005D3DB0">
      <w:pPr>
        <w:pStyle w:val="ListParagraph"/>
        <w:spacing w:after="120"/>
        <w:rPr>
          <w:rFonts w:cs="Arial"/>
        </w:rPr>
      </w:pPr>
      <w:r w:rsidRPr="0007082D">
        <w:rPr>
          <w:rFonts w:cs="Arial"/>
        </w:rPr>
        <w:t xml:space="preserve">People </w:t>
      </w:r>
      <w:r w:rsidR="00C9069E" w:rsidRPr="0007082D">
        <w:rPr>
          <w:rFonts w:cs="Arial"/>
        </w:rPr>
        <w:t xml:space="preserve">are </w:t>
      </w:r>
      <w:r w:rsidRPr="0007082D">
        <w:rPr>
          <w:rFonts w:cs="Arial"/>
        </w:rPr>
        <w:t xml:space="preserve">provide </w:t>
      </w:r>
      <w:r w:rsidR="00C9069E" w:rsidRPr="0007082D">
        <w:rPr>
          <w:rFonts w:cs="Arial"/>
        </w:rPr>
        <w:t xml:space="preserve">with </w:t>
      </w:r>
      <w:r w:rsidRPr="0007082D">
        <w:rPr>
          <w:rFonts w:cs="Arial"/>
        </w:rPr>
        <w:t>information and experience that enable</w:t>
      </w:r>
      <w:r w:rsidR="00C9069E" w:rsidRPr="0007082D">
        <w:rPr>
          <w:rFonts w:cs="Arial"/>
        </w:rPr>
        <w:t xml:space="preserve"> them</w:t>
      </w:r>
      <w:r w:rsidRPr="0007082D">
        <w:rPr>
          <w:rFonts w:cs="Arial"/>
        </w:rPr>
        <w:t xml:space="preserve"> to act on their own behalf taking into account consequences and constraints.</w:t>
      </w:r>
    </w:p>
    <w:p w14:paraId="584D7671" w14:textId="77777777" w:rsidR="003257D7" w:rsidRPr="0007082D" w:rsidRDefault="003257D7" w:rsidP="005D3DB0">
      <w:pPr>
        <w:pStyle w:val="ListParagraph"/>
        <w:spacing w:after="120"/>
        <w:rPr>
          <w:rFonts w:cs="Arial"/>
        </w:rPr>
      </w:pPr>
    </w:p>
    <w:p w14:paraId="2EC5B281" w14:textId="77777777" w:rsidR="003257D7" w:rsidRPr="0007082D" w:rsidRDefault="003257D7" w:rsidP="005D3DB0">
      <w:pPr>
        <w:pStyle w:val="ListParagraph"/>
        <w:numPr>
          <w:ilvl w:val="0"/>
          <w:numId w:val="13"/>
        </w:numPr>
        <w:spacing w:after="120"/>
        <w:rPr>
          <w:rFonts w:cs="Arial"/>
          <w:u w:val="single"/>
        </w:rPr>
      </w:pPr>
      <w:r w:rsidRPr="0007082D">
        <w:rPr>
          <w:rFonts w:cs="Arial"/>
          <w:u w:val="single"/>
        </w:rPr>
        <w:t xml:space="preserve">For shared decisions: </w:t>
      </w:r>
    </w:p>
    <w:p w14:paraId="715DD674" w14:textId="650FBCB4" w:rsidR="003257D7" w:rsidRPr="0007082D" w:rsidRDefault="00C9069E" w:rsidP="005D3DB0">
      <w:pPr>
        <w:pStyle w:val="ListParagraph"/>
        <w:spacing w:after="120"/>
        <w:rPr>
          <w:rFonts w:cs="Arial"/>
        </w:rPr>
      </w:pPr>
      <w:r w:rsidRPr="009B2358">
        <w:rPr>
          <w:rFonts w:cs="Arial"/>
          <w:i/>
        </w:rPr>
        <w:t>futures in sight</w:t>
      </w:r>
      <w:r w:rsidR="003257D7" w:rsidRPr="0007082D">
        <w:rPr>
          <w:rFonts w:cs="Arial"/>
        </w:rPr>
        <w:t xml:space="preserve"> provide</w:t>
      </w:r>
      <w:r w:rsidRPr="0007082D">
        <w:rPr>
          <w:rFonts w:cs="Arial"/>
        </w:rPr>
        <w:t>s</w:t>
      </w:r>
      <w:r w:rsidR="003257D7" w:rsidRPr="0007082D">
        <w:rPr>
          <w:rFonts w:cs="Arial"/>
        </w:rPr>
        <w:t xml:space="preserve"> information and experience that enables the pe</w:t>
      </w:r>
      <w:r w:rsidRPr="0007082D">
        <w:rPr>
          <w:rFonts w:cs="Arial"/>
        </w:rPr>
        <w:t>rson (with the assistance of their identified allies)</w:t>
      </w:r>
      <w:r w:rsidR="003257D7" w:rsidRPr="0007082D">
        <w:rPr>
          <w:rFonts w:cs="Arial"/>
        </w:rPr>
        <w:t xml:space="preserve"> to express their will and preference and if necessary, interpret these. </w:t>
      </w:r>
      <w:r w:rsidRPr="0007082D">
        <w:rPr>
          <w:rFonts w:cs="Arial"/>
        </w:rPr>
        <w:t>futures in sight and allies can</w:t>
      </w:r>
      <w:r w:rsidR="003257D7" w:rsidRPr="0007082D">
        <w:rPr>
          <w:rFonts w:cs="Arial"/>
        </w:rPr>
        <w:t xml:space="preserve"> also assist the person by taking into account consequences and constraints.</w:t>
      </w:r>
    </w:p>
    <w:p w14:paraId="37F906F1" w14:textId="77777777" w:rsidR="003257D7" w:rsidRPr="0007082D" w:rsidRDefault="003257D7" w:rsidP="005D3DB0">
      <w:pPr>
        <w:pStyle w:val="ListParagraph"/>
        <w:spacing w:after="120"/>
        <w:rPr>
          <w:rFonts w:cs="Arial"/>
        </w:rPr>
      </w:pPr>
    </w:p>
    <w:p w14:paraId="678C2D7B" w14:textId="77777777" w:rsidR="003257D7" w:rsidRPr="0007082D" w:rsidRDefault="003257D7" w:rsidP="005D3DB0">
      <w:pPr>
        <w:pStyle w:val="ListParagraph"/>
        <w:numPr>
          <w:ilvl w:val="0"/>
          <w:numId w:val="13"/>
        </w:numPr>
        <w:spacing w:after="120"/>
        <w:rPr>
          <w:rFonts w:cs="Arial"/>
          <w:u w:val="single"/>
        </w:rPr>
      </w:pPr>
      <w:r w:rsidRPr="0007082D">
        <w:rPr>
          <w:rFonts w:cs="Arial"/>
          <w:u w:val="single"/>
        </w:rPr>
        <w:t>For substitute decisions:</w:t>
      </w:r>
    </w:p>
    <w:p w14:paraId="07B9B109" w14:textId="37F6FB02" w:rsidR="003257D7" w:rsidRPr="0007082D" w:rsidRDefault="00C9069E" w:rsidP="005D3DB0">
      <w:pPr>
        <w:pStyle w:val="ListParagraph"/>
        <w:spacing w:after="120"/>
        <w:rPr>
          <w:rFonts w:cs="Arial"/>
        </w:rPr>
      </w:pPr>
      <w:r w:rsidRPr="0007082D">
        <w:rPr>
          <w:rFonts w:cs="Arial"/>
          <w:i/>
        </w:rPr>
        <w:t>futures in sight</w:t>
      </w:r>
      <w:r w:rsidR="003257D7" w:rsidRPr="0007082D">
        <w:rPr>
          <w:rFonts w:cs="Arial"/>
        </w:rPr>
        <w:t xml:space="preserve"> provide</w:t>
      </w:r>
      <w:r w:rsidRPr="0007082D">
        <w:rPr>
          <w:rFonts w:cs="Arial"/>
        </w:rPr>
        <w:t>s</w:t>
      </w:r>
      <w:r w:rsidR="003257D7" w:rsidRPr="0007082D">
        <w:rPr>
          <w:rFonts w:cs="Arial"/>
        </w:rPr>
        <w:t xml:space="preserve"> information and experience that enables the person </w:t>
      </w:r>
      <w:r w:rsidRPr="0007082D">
        <w:rPr>
          <w:rFonts w:cs="Arial"/>
        </w:rPr>
        <w:t xml:space="preserve">(with the assistance of their identified </w:t>
      </w:r>
      <w:r w:rsidR="00DD2A9C" w:rsidRPr="0007082D">
        <w:rPr>
          <w:rFonts w:cs="Arial"/>
        </w:rPr>
        <w:t>family members/</w:t>
      </w:r>
      <w:r w:rsidRPr="0007082D">
        <w:rPr>
          <w:rFonts w:cs="Arial"/>
        </w:rPr>
        <w:t xml:space="preserve">allies) </w:t>
      </w:r>
      <w:r w:rsidR="003257D7" w:rsidRPr="0007082D">
        <w:rPr>
          <w:rFonts w:cs="Arial"/>
        </w:rPr>
        <w:t xml:space="preserve">to express their will and preference and if necessary, interpret these. </w:t>
      </w:r>
      <w:r w:rsidRPr="0007082D">
        <w:rPr>
          <w:rFonts w:cs="Arial"/>
        </w:rPr>
        <w:t xml:space="preserve">futures in sight and identified </w:t>
      </w:r>
      <w:r w:rsidR="00DD2A9C" w:rsidRPr="0007082D">
        <w:rPr>
          <w:rFonts w:cs="Arial"/>
        </w:rPr>
        <w:t>family members/allies</w:t>
      </w:r>
      <w:r w:rsidRPr="0007082D">
        <w:rPr>
          <w:rFonts w:cs="Arial"/>
        </w:rPr>
        <w:t xml:space="preserve"> </w:t>
      </w:r>
      <w:r w:rsidR="003257D7" w:rsidRPr="0007082D">
        <w:rPr>
          <w:rFonts w:cs="Arial"/>
        </w:rPr>
        <w:t xml:space="preserve">also assist the person to take into account consequences and constraints. In addition, </w:t>
      </w:r>
      <w:r w:rsidRPr="0007082D">
        <w:rPr>
          <w:rFonts w:cs="Arial"/>
        </w:rPr>
        <w:t xml:space="preserve">futures in sight and identified </w:t>
      </w:r>
      <w:r w:rsidR="00DD2A9C" w:rsidRPr="0007082D">
        <w:rPr>
          <w:rFonts w:cs="Arial"/>
        </w:rPr>
        <w:t>family members/allies</w:t>
      </w:r>
      <w:r w:rsidR="003257D7" w:rsidRPr="0007082D">
        <w:rPr>
          <w:rFonts w:cs="Arial"/>
        </w:rPr>
        <w:t xml:space="preserve"> may moderate a person’s will, preferences and rights if there are likely to be harmful consequences and the person does not have the ability to appreciate these.</w:t>
      </w:r>
    </w:p>
    <w:p w14:paraId="79C96894" w14:textId="396BA387" w:rsidR="003257D7" w:rsidRPr="0007082D" w:rsidRDefault="00C9069E" w:rsidP="005D3DB0">
      <w:pPr>
        <w:spacing w:after="120"/>
        <w:rPr>
          <w:rFonts w:cs="Arial"/>
        </w:rPr>
      </w:pPr>
      <w:r w:rsidRPr="0007082D">
        <w:rPr>
          <w:rFonts w:cs="Arial"/>
          <w:i/>
        </w:rPr>
        <w:t>futures in sight</w:t>
      </w:r>
      <w:r w:rsidR="003257D7" w:rsidRPr="0007082D">
        <w:rPr>
          <w:rFonts w:cs="Arial"/>
        </w:rPr>
        <w:t xml:space="preserve"> understand</w:t>
      </w:r>
      <w:r w:rsidRPr="0007082D">
        <w:rPr>
          <w:rFonts w:cs="Arial"/>
        </w:rPr>
        <w:t>s</w:t>
      </w:r>
      <w:r w:rsidR="003257D7" w:rsidRPr="0007082D">
        <w:rPr>
          <w:rFonts w:cs="Arial"/>
        </w:rPr>
        <w:t xml:space="preserve"> the dynamics and processes of supports</w:t>
      </w:r>
      <w:r w:rsidRPr="0007082D">
        <w:rPr>
          <w:rFonts w:cs="Arial"/>
        </w:rPr>
        <w:t xml:space="preserve"> for decision making and assist </w:t>
      </w:r>
      <w:r w:rsidR="00DD2A9C" w:rsidRPr="0007082D">
        <w:rPr>
          <w:rFonts w:cs="Arial"/>
        </w:rPr>
        <w:t>family members/allies</w:t>
      </w:r>
      <w:r w:rsidR="003257D7" w:rsidRPr="0007082D">
        <w:rPr>
          <w:rFonts w:cs="Arial"/>
        </w:rPr>
        <w:t xml:space="preserve"> to assist their family member to contribute to and make decisions to the maximum extent possible.</w:t>
      </w:r>
    </w:p>
    <w:p w14:paraId="3EBDEC74" w14:textId="716D4CA1" w:rsidR="003257D7" w:rsidRPr="0007082D" w:rsidRDefault="003257D7" w:rsidP="005D3DB0">
      <w:pPr>
        <w:spacing w:after="120"/>
        <w:rPr>
          <w:rFonts w:cs="Arial"/>
        </w:rPr>
      </w:pPr>
      <w:r w:rsidRPr="0007082D">
        <w:rPr>
          <w:rFonts w:cs="Arial"/>
        </w:rPr>
        <w:t>In the case of disagreement about the will and preferences of the person in relation to a major lifestyle decision (where a person lives, their use of services) a legally appointed guardian with specific a specific decision making function may be required.</w:t>
      </w:r>
    </w:p>
    <w:p w14:paraId="1724ED31" w14:textId="1886AD47" w:rsidR="003257D7" w:rsidRPr="0007082D" w:rsidRDefault="003257D7" w:rsidP="005D3DB0">
      <w:pPr>
        <w:rPr>
          <w:b/>
        </w:rPr>
      </w:pPr>
      <w:bookmarkStart w:id="5" w:name="_Toc310620524"/>
      <w:r w:rsidRPr="0007082D">
        <w:rPr>
          <w:b/>
        </w:rPr>
        <w:lastRenderedPageBreak/>
        <w:t xml:space="preserve">Supporting decision making about </w:t>
      </w:r>
      <w:r w:rsidR="00C9069E" w:rsidRPr="0007082D">
        <w:rPr>
          <w:b/>
        </w:rPr>
        <w:t>futures in sight</w:t>
      </w:r>
      <w:bookmarkEnd w:id="5"/>
    </w:p>
    <w:p w14:paraId="7EAC3C7A" w14:textId="71035064" w:rsidR="003257D7" w:rsidRPr="009B10B9" w:rsidRDefault="00C9069E" w:rsidP="005D3DB0">
      <w:pPr>
        <w:spacing w:after="120"/>
        <w:rPr>
          <w:rFonts w:cs="Arial"/>
        </w:rPr>
      </w:pPr>
      <w:r w:rsidRPr="0007082D">
        <w:rPr>
          <w:rFonts w:cs="Arial"/>
          <w:i/>
        </w:rPr>
        <w:t>futures in sight</w:t>
      </w:r>
      <w:r w:rsidR="003257D7" w:rsidRPr="009B10B9">
        <w:rPr>
          <w:rFonts w:cs="Arial"/>
        </w:rPr>
        <w:t xml:space="preserve"> encourages </w:t>
      </w:r>
      <w:r w:rsidR="00DD2A9C" w:rsidRPr="009B10B9">
        <w:rPr>
          <w:rFonts w:cs="Arial"/>
        </w:rPr>
        <w:t xml:space="preserve">people we support and their </w:t>
      </w:r>
      <w:r w:rsidR="003257D7" w:rsidRPr="009B10B9">
        <w:rPr>
          <w:rFonts w:cs="Arial"/>
        </w:rPr>
        <w:t xml:space="preserve"> </w:t>
      </w:r>
      <w:r w:rsidR="00DD2A9C" w:rsidRPr="009B10B9">
        <w:rPr>
          <w:rFonts w:cs="Arial"/>
        </w:rPr>
        <w:t xml:space="preserve">family members/allies identified </w:t>
      </w:r>
      <w:r w:rsidR="003257D7" w:rsidRPr="009B10B9">
        <w:rPr>
          <w:rFonts w:cs="Arial"/>
        </w:rPr>
        <w:t>to</w:t>
      </w:r>
    </w:p>
    <w:p w14:paraId="3098FFB2" w14:textId="7EDAAA53" w:rsidR="003257D7" w:rsidRPr="009B10B9" w:rsidRDefault="003257D7" w:rsidP="005D3DB0">
      <w:pPr>
        <w:pStyle w:val="ListParagraph"/>
        <w:numPr>
          <w:ilvl w:val="0"/>
          <w:numId w:val="14"/>
        </w:numPr>
        <w:spacing w:after="120"/>
        <w:rPr>
          <w:rFonts w:cs="Arial"/>
        </w:rPr>
      </w:pPr>
      <w:r w:rsidRPr="009B10B9">
        <w:rPr>
          <w:rFonts w:cs="Arial"/>
        </w:rPr>
        <w:t xml:space="preserve">Be informed and involved in the activities of </w:t>
      </w:r>
      <w:r w:rsidR="00C9069E" w:rsidRPr="009B10B9">
        <w:rPr>
          <w:rFonts w:cs="Arial"/>
        </w:rPr>
        <w:t>futures in sight</w:t>
      </w:r>
    </w:p>
    <w:p w14:paraId="78960E60" w14:textId="272FEF3C" w:rsidR="003257D7" w:rsidRPr="009B10B9" w:rsidRDefault="003257D7" w:rsidP="005D3DB0">
      <w:pPr>
        <w:pStyle w:val="ListParagraph"/>
        <w:numPr>
          <w:ilvl w:val="0"/>
          <w:numId w:val="14"/>
        </w:numPr>
        <w:spacing w:after="120"/>
        <w:rPr>
          <w:rFonts w:cs="Arial"/>
        </w:rPr>
      </w:pPr>
      <w:r w:rsidRPr="009B10B9">
        <w:rPr>
          <w:rFonts w:cs="Arial"/>
        </w:rPr>
        <w:t xml:space="preserve">Be involved in meetings </w:t>
      </w:r>
    </w:p>
    <w:p w14:paraId="2FB27A5A" w14:textId="27BB1068" w:rsidR="003257D7" w:rsidRPr="009B10B9" w:rsidRDefault="003257D7" w:rsidP="005D3DB0">
      <w:pPr>
        <w:pStyle w:val="ListParagraph"/>
        <w:numPr>
          <w:ilvl w:val="0"/>
          <w:numId w:val="14"/>
        </w:numPr>
        <w:spacing w:after="120"/>
        <w:rPr>
          <w:rFonts w:cs="Arial"/>
        </w:rPr>
      </w:pPr>
      <w:r w:rsidRPr="009B10B9">
        <w:rPr>
          <w:rFonts w:cs="Arial"/>
        </w:rPr>
        <w:t xml:space="preserve">Assist in the development of </w:t>
      </w:r>
      <w:r w:rsidR="00C9069E" w:rsidRPr="009B10B9">
        <w:rPr>
          <w:rFonts w:cs="Arial"/>
        </w:rPr>
        <w:t>futures in sight</w:t>
      </w:r>
      <w:r w:rsidRPr="009B10B9">
        <w:rPr>
          <w:rFonts w:cs="Arial"/>
        </w:rPr>
        <w:t xml:space="preserve"> through </w:t>
      </w:r>
      <w:r w:rsidR="00DD2A9C" w:rsidRPr="009B10B9">
        <w:rPr>
          <w:rFonts w:cs="Arial"/>
        </w:rPr>
        <w:t>various processes</w:t>
      </w:r>
    </w:p>
    <w:p w14:paraId="103FB6AB" w14:textId="77777777" w:rsidR="00DD2A9C" w:rsidRPr="009B10B9" w:rsidRDefault="003257D7" w:rsidP="005D3DB0">
      <w:pPr>
        <w:pStyle w:val="ListParagraph"/>
        <w:numPr>
          <w:ilvl w:val="0"/>
          <w:numId w:val="14"/>
        </w:numPr>
        <w:spacing w:after="120"/>
        <w:rPr>
          <w:rFonts w:cs="Arial"/>
          <w:b/>
        </w:rPr>
      </w:pPr>
      <w:r w:rsidRPr="009B10B9">
        <w:rPr>
          <w:rFonts w:cs="Arial"/>
        </w:rPr>
        <w:t xml:space="preserve">Become involved in </w:t>
      </w:r>
      <w:r w:rsidR="00C9069E" w:rsidRPr="009B10B9">
        <w:rPr>
          <w:rFonts w:cs="Arial"/>
        </w:rPr>
        <w:t>futures in sight</w:t>
      </w:r>
      <w:r w:rsidRPr="009B10B9">
        <w:rPr>
          <w:rFonts w:cs="Arial"/>
        </w:rPr>
        <w:t xml:space="preserve"> </w:t>
      </w:r>
    </w:p>
    <w:p w14:paraId="55F54656" w14:textId="77777777" w:rsidR="00FE750A" w:rsidRDefault="00FE750A" w:rsidP="005D3DB0">
      <w:pPr>
        <w:rPr>
          <w:b/>
          <w:i/>
        </w:rPr>
      </w:pPr>
      <w:bookmarkStart w:id="6" w:name="_Toc310620525"/>
    </w:p>
    <w:p w14:paraId="18F269B9" w14:textId="7BD18217" w:rsidR="003257D7" w:rsidRPr="0007082D" w:rsidRDefault="00C9069E" w:rsidP="005D3DB0">
      <w:pPr>
        <w:rPr>
          <w:b/>
        </w:rPr>
      </w:pPr>
      <w:r w:rsidRPr="0007082D">
        <w:rPr>
          <w:b/>
          <w:i/>
        </w:rPr>
        <w:t>futures in sight</w:t>
      </w:r>
      <w:r w:rsidR="003257D7" w:rsidRPr="0007082D">
        <w:rPr>
          <w:b/>
        </w:rPr>
        <w:t xml:space="preserve"> supports </w:t>
      </w:r>
      <w:r w:rsidR="00DD2A9C" w:rsidRPr="0007082D">
        <w:rPr>
          <w:b/>
        </w:rPr>
        <w:t>people we support</w:t>
      </w:r>
      <w:r w:rsidR="003257D7" w:rsidRPr="0007082D">
        <w:rPr>
          <w:b/>
        </w:rPr>
        <w:t xml:space="preserve"> to take part by:</w:t>
      </w:r>
      <w:bookmarkEnd w:id="6"/>
    </w:p>
    <w:p w14:paraId="26CE8C97" w14:textId="296B262E" w:rsidR="003257D7" w:rsidRPr="009B10B9" w:rsidRDefault="003257D7" w:rsidP="005D3DB0">
      <w:pPr>
        <w:numPr>
          <w:ilvl w:val="0"/>
          <w:numId w:val="11"/>
        </w:numPr>
        <w:spacing w:after="120"/>
        <w:ind w:left="714" w:hanging="357"/>
        <w:rPr>
          <w:rFonts w:cs="Arial"/>
        </w:rPr>
      </w:pPr>
      <w:r w:rsidRPr="009B10B9">
        <w:rPr>
          <w:rFonts w:cs="Arial"/>
        </w:rPr>
        <w:t xml:space="preserve">providing information about </w:t>
      </w:r>
      <w:r w:rsidR="00C9069E" w:rsidRPr="009B10B9">
        <w:rPr>
          <w:rFonts w:cs="Arial"/>
        </w:rPr>
        <w:t>futures in sight</w:t>
      </w:r>
    </w:p>
    <w:p w14:paraId="49B7CC1C" w14:textId="07557D98" w:rsidR="00604B1A" w:rsidRPr="009B10B9" w:rsidRDefault="003257D7" w:rsidP="005D3DB0">
      <w:pPr>
        <w:numPr>
          <w:ilvl w:val="0"/>
          <w:numId w:val="11"/>
        </w:numPr>
        <w:spacing w:after="120"/>
        <w:ind w:left="714" w:hanging="357"/>
        <w:rPr>
          <w:rFonts w:cs="Arial"/>
        </w:rPr>
      </w:pPr>
      <w:r w:rsidRPr="009B10B9">
        <w:rPr>
          <w:rFonts w:cs="Arial"/>
        </w:rPr>
        <w:t xml:space="preserve">inviting members’ input in the development of </w:t>
      </w:r>
      <w:r w:rsidR="00C9069E" w:rsidRPr="009B2358">
        <w:rPr>
          <w:rFonts w:cs="Arial"/>
          <w:i/>
        </w:rPr>
        <w:t>futures in sight</w:t>
      </w:r>
      <w:r w:rsidRPr="009B2358">
        <w:rPr>
          <w:rFonts w:cs="Arial"/>
          <w:i/>
        </w:rPr>
        <w:t>’s</w:t>
      </w:r>
      <w:r w:rsidRPr="009B10B9">
        <w:rPr>
          <w:rFonts w:cs="Arial"/>
        </w:rPr>
        <w:t xml:space="preserve"> strategic plan, reviews</w:t>
      </w:r>
      <w:r w:rsidR="00DD2A9C" w:rsidRPr="009B10B9">
        <w:rPr>
          <w:rFonts w:cs="Arial"/>
        </w:rPr>
        <w:t>, annual feedback</w:t>
      </w:r>
    </w:p>
    <w:p w14:paraId="7A50C2FE" w14:textId="77777777" w:rsidR="00DD2A9C" w:rsidRPr="003257D7" w:rsidRDefault="00DD2A9C" w:rsidP="00FE750A">
      <w:pPr>
        <w:spacing w:after="120"/>
        <w:ind w:left="357"/>
      </w:pPr>
    </w:p>
    <w:p w14:paraId="069B3C4A" w14:textId="77777777" w:rsidR="009B2358" w:rsidRPr="005F0E61" w:rsidRDefault="009B2358" w:rsidP="005D3DB0">
      <w:pPr>
        <w:rPr>
          <w:b/>
          <w:szCs w:val="24"/>
          <w:lang w:val="en-US"/>
        </w:rPr>
      </w:pPr>
      <w:r w:rsidRPr="005F0E61">
        <w:rPr>
          <w:b/>
          <w:szCs w:val="24"/>
          <w:lang w:val="en-US"/>
        </w:rPr>
        <w:t>Review</w:t>
      </w:r>
    </w:p>
    <w:p w14:paraId="0C648C3F" w14:textId="77777777" w:rsidR="009B2358" w:rsidRPr="005F0E61" w:rsidRDefault="009B2358" w:rsidP="005D3DB0">
      <w:pPr>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08650A8E" w14:textId="77777777" w:rsidR="009B2358" w:rsidRPr="005F0E61" w:rsidRDefault="009B2358" w:rsidP="005D3DB0">
      <w:pPr>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p w14:paraId="12FA82C6" w14:textId="77777777" w:rsidR="004947AA" w:rsidRPr="00741E80" w:rsidRDefault="004947AA" w:rsidP="00EC572F">
      <w:pPr>
        <w:spacing w:after="0" w:line="360" w:lineRule="auto"/>
        <w:rPr>
          <w:rFonts w:cstheme="minorHAnsi"/>
          <w:color w:val="000000" w:themeColor="text1"/>
          <w:szCs w:val="24"/>
          <w:lang w:val="en-US"/>
        </w:rPr>
      </w:pPr>
      <w:bookmarkStart w:id="7" w:name="_GoBack"/>
      <w:bookmarkEnd w:id="7"/>
    </w:p>
    <w:tbl>
      <w:tblPr>
        <w:tblStyle w:val="TableGrid"/>
        <w:tblW w:w="9322" w:type="dxa"/>
        <w:tblLook w:val="04A0" w:firstRow="1" w:lastRow="0" w:firstColumn="1" w:lastColumn="0" w:noHBand="0" w:noVBand="1"/>
      </w:tblPr>
      <w:tblGrid>
        <w:gridCol w:w="3085"/>
        <w:gridCol w:w="1843"/>
        <w:gridCol w:w="2268"/>
        <w:gridCol w:w="2126"/>
      </w:tblGrid>
      <w:tr w:rsidR="009B10B9" w:rsidRPr="00AE229F" w14:paraId="5ADB84CC" w14:textId="77777777" w:rsidTr="00B33B38">
        <w:tc>
          <w:tcPr>
            <w:tcW w:w="3085" w:type="dxa"/>
          </w:tcPr>
          <w:p w14:paraId="2418E87C" w14:textId="77777777" w:rsidR="009B10B9" w:rsidRPr="00AE229F" w:rsidRDefault="009B10B9" w:rsidP="00B33B38">
            <w:pPr>
              <w:rPr>
                <w:bCs/>
                <w:color w:val="000000" w:themeColor="text1"/>
                <w:szCs w:val="24"/>
                <w:lang w:val="en"/>
              </w:rPr>
            </w:pPr>
            <w:r w:rsidRPr="00AE229F">
              <w:rPr>
                <w:bCs/>
                <w:color w:val="000000" w:themeColor="text1"/>
                <w:szCs w:val="24"/>
                <w:lang w:val="en"/>
              </w:rPr>
              <w:t>Signed by all Partners</w:t>
            </w:r>
          </w:p>
        </w:tc>
        <w:tc>
          <w:tcPr>
            <w:tcW w:w="1843" w:type="dxa"/>
          </w:tcPr>
          <w:p w14:paraId="6A9BB084" w14:textId="77777777" w:rsidR="009B10B9" w:rsidRPr="00AE229F" w:rsidRDefault="009B10B9" w:rsidP="00B33B38">
            <w:pPr>
              <w:rPr>
                <w:bCs/>
                <w:color w:val="000000" w:themeColor="text1"/>
                <w:szCs w:val="24"/>
                <w:highlight w:val="yellow"/>
                <w:lang w:val="en"/>
              </w:rPr>
            </w:pPr>
          </w:p>
        </w:tc>
        <w:tc>
          <w:tcPr>
            <w:tcW w:w="2268" w:type="dxa"/>
          </w:tcPr>
          <w:p w14:paraId="71CF9F20" w14:textId="77777777" w:rsidR="009B10B9" w:rsidRPr="00AE229F" w:rsidRDefault="009B10B9" w:rsidP="00B33B38">
            <w:pPr>
              <w:rPr>
                <w:bCs/>
                <w:color w:val="000000" w:themeColor="text1"/>
                <w:szCs w:val="24"/>
                <w:highlight w:val="yellow"/>
                <w:lang w:val="en"/>
              </w:rPr>
            </w:pPr>
          </w:p>
        </w:tc>
        <w:tc>
          <w:tcPr>
            <w:tcW w:w="2126" w:type="dxa"/>
          </w:tcPr>
          <w:p w14:paraId="45189366" w14:textId="77777777" w:rsidR="009B10B9" w:rsidRPr="00AE229F" w:rsidRDefault="009B10B9" w:rsidP="00B33B38">
            <w:pPr>
              <w:rPr>
                <w:bCs/>
                <w:color w:val="000000" w:themeColor="text1"/>
                <w:szCs w:val="24"/>
                <w:highlight w:val="yellow"/>
                <w:lang w:val="en"/>
              </w:rPr>
            </w:pPr>
          </w:p>
        </w:tc>
      </w:tr>
      <w:tr w:rsidR="009B10B9" w:rsidRPr="00AE229F" w14:paraId="575B045F" w14:textId="77777777" w:rsidTr="00B33B38">
        <w:tc>
          <w:tcPr>
            <w:tcW w:w="3085" w:type="dxa"/>
          </w:tcPr>
          <w:p w14:paraId="328270A9" w14:textId="77777777" w:rsidR="009B10B9" w:rsidRPr="0007082D" w:rsidRDefault="009B10B9" w:rsidP="00B33B38">
            <w:pPr>
              <w:rPr>
                <w:bCs/>
                <w:color w:val="000000" w:themeColor="text1"/>
                <w:szCs w:val="24"/>
                <w:lang w:val="en"/>
              </w:rPr>
            </w:pPr>
            <w:r w:rsidRPr="0007082D">
              <w:rPr>
                <w:bCs/>
                <w:color w:val="000000" w:themeColor="text1"/>
                <w:szCs w:val="24"/>
                <w:lang w:val="en"/>
              </w:rPr>
              <w:t>Date effective</w:t>
            </w:r>
          </w:p>
        </w:tc>
        <w:tc>
          <w:tcPr>
            <w:tcW w:w="1843" w:type="dxa"/>
          </w:tcPr>
          <w:p w14:paraId="5128C21C" w14:textId="2E47D6F4" w:rsidR="009B10B9" w:rsidRPr="0007082D" w:rsidRDefault="0007082D" w:rsidP="00B33B38">
            <w:pPr>
              <w:rPr>
                <w:bCs/>
                <w:color w:val="000000" w:themeColor="text1"/>
                <w:szCs w:val="24"/>
                <w:lang w:val="en"/>
              </w:rPr>
            </w:pPr>
            <w:r w:rsidRPr="0007082D">
              <w:rPr>
                <w:bCs/>
                <w:color w:val="000000" w:themeColor="text1"/>
                <w:szCs w:val="24"/>
                <w:lang w:val="en"/>
              </w:rPr>
              <w:t>1 April 2018</w:t>
            </w:r>
          </w:p>
        </w:tc>
        <w:tc>
          <w:tcPr>
            <w:tcW w:w="2268" w:type="dxa"/>
          </w:tcPr>
          <w:p w14:paraId="23AB8749" w14:textId="77777777" w:rsidR="009B10B9" w:rsidRPr="0007082D" w:rsidRDefault="009B10B9" w:rsidP="00B33B38">
            <w:pPr>
              <w:rPr>
                <w:bCs/>
                <w:color w:val="000000" w:themeColor="text1"/>
                <w:szCs w:val="24"/>
                <w:lang w:val="en"/>
              </w:rPr>
            </w:pPr>
            <w:r w:rsidRPr="0007082D">
              <w:rPr>
                <w:bCs/>
                <w:color w:val="000000" w:themeColor="text1"/>
                <w:szCs w:val="24"/>
                <w:lang w:val="en"/>
              </w:rPr>
              <w:t>Version</w:t>
            </w:r>
          </w:p>
        </w:tc>
        <w:tc>
          <w:tcPr>
            <w:tcW w:w="2126" w:type="dxa"/>
          </w:tcPr>
          <w:p w14:paraId="0671D091" w14:textId="7C589FBB" w:rsidR="009B10B9" w:rsidRPr="0007082D" w:rsidRDefault="0007082D" w:rsidP="009B2358">
            <w:pPr>
              <w:rPr>
                <w:bCs/>
                <w:color w:val="000000" w:themeColor="text1"/>
                <w:szCs w:val="24"/>
                <w:lang w:val="en"/>
              </w:rPr>
            </w:pPr>
            <w:r w:rsidRPr="0007082D">
              <w:rPr>
                <w:bCs/>
                <w:color w:val="000000" w:themeColor="text1"/>
                <w:szCs w:val="24"/>
                <w:lang w:val="en"/>
              </w:rPr>
              <w:t>V</w:t>
            </w:r>
            <w:r w:rsidR="009B10B9" w:rsidRPr="0007082D">
              <w:rPr>
                <w:bCs/>
                <w:color w:val="000000" w:themeColor="text1"/>
                <w:szCs w:val="24"/>
                <w:lang w:val="en"/>
              </w:rPr>
              <w:t>-</w:t>
            </w:r>
            <w:r w:rsidR="00C92551">
              <w:rPr>
                <w:bCs/>
                <w:color w:val="000000" w:themeColor="text1"/>
                <w:szCs w:val="24"/>
                <w:lang w:val="en"/>
              </w:rPr>
              <w:t>3</w:t>
            </w:r>
          </w:p>
        </w:tc>
      </w:tr>
      <w:tr w:rsidR="009B10B9" w:rsidRPr="00AE229F" w14:paraId="2DE79459" w14:textId="77777777" w:rsidTr="00B33B38">
        <w:tc>
          <w:tcPr>
            <w:tcW w:w="3085" w:type="dxa"/>
          </w:tcPr>
          <w:p w14:paraId="59C3851B" w14:textId="77777777" w:rsidR="009B10B9" w:rsidRPr="0007082D" w:rsidRDefault="009B10B9" w:rsidP="00B33B38">
            <w:pPr>
              <w:rPr>
                <w:bCs/>
                <w:color w:val="000000" w:themeColor="text1"/>
                <w:szCs w:val="24"/>
                <w:lang w:val="en"/>
              </w:rPr>
            </w:pPr>
            <w:r w:rsidRPr="0007082D">
              <w:rPr>
                <w:bCs/>
                <w:color w:val="000000" w:themeColor="text1"/>
                <w:szCs w:val="24"/>
                <w:lang w:val="en"/>
              </w:rPr>
              <w:t>Review date</w:t>
            </w:r>
          </w:p>
        </w:tc>
        <w:tc>
          <w:tcPr>
            <w:tcW w:w="1843" w:type="dxa"/>
          </w:tcPr>
          <w:p w14:paraId="3CD6396C" w14:textId="15816FCF" w:rsidR="009B10B9" w:rsidRPr="0007082D" w:rsidRDefault="0007082D" w:rsidP="009B2358">
            <w:pPr>
              <w:rPr>
                <w:bCs/>
                <w:color w:val="000000" w:themeColor="text1"/>
                <w:szCs w:val="24"/>
                <w:lang w:val="en"/>
              </w:rPr>
            </w:pPr>
            <w:r w:rsidRPr="0007082D">
              <w:rPr>
                <w:bCs/>
                <w:color w:val="000000" w:themeColor="text1"/>
                <w:szCs w:val="24"/>
                <w:lang w:val="en"/>
              </w:rPr>
              <w:t>1 April 20</w:t>
            </w:r>
            <w:r w:rsidR="009B2358">
              <w:rPr>
                <w:bCs/>
                <w:color w:val="000000" w:themeColor="text1"/>
                <w:szCs w:val="24"/>
                <w:lang w:val="en"/>
              </w:rPr>
              <w:t>20</w:t>
            </w:r>
          </w:p>
        </w:tc>
        <w:tc>
          <w:tcPr>
            <w:tcW w:w="2268" w:type="dxa"/>
          </w:tcPr>
          <w:p w14:paraId="0165AB32" w14:textId="77777777" w:rsidR="009B10B9" w:rsidRPr="0007082D" w:rsidRDefault="009B10B9" w:rsidP="00B33B38">
            <w:pPr>
              <w:rPr>
                <w:bCs/>
                <w:color w:val="000000" w:themeColor="text1"/>
                <w:szCs w:val="24"/>
                <w:lang w:val="en"/>
              </w:rPr>
            </w:pPr>
            <w:r w:rsidRPr="0007082D">
              <w:rPr>
                <w:bCs/>
                <w:color w:val="000000" w:themeColor="text1"/>
                <w:szCs w:val="24"/>
                <w:lang w:val="en"/>
              </w:rPr>
              <w:t>No of pages</w:t>
            </w:r>
          </w:p>
        </w:tc>
        <w:tc>
          <w:tcPr>
            <w:tcW w:w="2126" w:type="dxa"/>
          </w:tcPr>
          <w:p w14:paraId="3465512A" w14:textId="2DA2C098" w:rsidR="009B10B9" w:rsidRPr="0007082D" w:rsidRDefault="009B10B9" w:rsidP="00B33B38">
            <w:pPr>
              <w:rPr>
                <w:bCs/>
                <w:color w:val="000000" w:themeColor="text1"/>
                <w:szCs w:val="24"/>
                <w:lang w:val="en"/>
              </w:rPr>
            </w:pPr>
            <w:r w:rsidRPr="0007082D">
              <w:rPr>
                <w:bCs/>
                <w:color w:val="000000" w:themeColor="text1"/>
                <w:szCs w:val="24"/>
                <w:lang w:val="en"/>
              </w:rPr>
              <w:t>3</w:t>
            </w:r>
          </w:p>
        </w:tc>
      </w:tr>
    </w:tbl>
    <w:p w14:paraId="3B220B51" w14:textId="77777777" w:rsidR="009B10B9" w:rsidRPr="003257D7" w:rsidRDefault="009B10B9" w:rsidP="00EC572F">
      <w:pPr>
        <w:spacing w:after="0" w:line="360" w:lineRule="auto"/>
        <w:rPr>
          <w:rFonts w:cstheme="minorHAnsi"/>
          <w:color w:val="000000" w:themeColor="text1"/>
          <w:szCs w:val="24"/>
        </w:rPr>
      </w:pPr>
    </w:p>
    <w:sectPr w:rsidR="009B10B9" w:rsidRPr="003257D7" w:rsidSect="0015265C">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38E71" w14:textId="77777777" w:rsidR="008D7AAF" w:rsidRDefault="008D7AAF" w:rsidP="00EC572F">
      <w:pPr>
        <w:spacing w:after="0" w:line="240" w:lineRule="auto"/>
      </w:pPr>
      <w:r>
        <w:separator/>
      </w:r>
    </w:p>
  </w:endnote>
  <w:endnote w:type="continuationSeparator" w:id="0">
    <w:p w14:paraId="63E51615" w14:textId="77777777" w:rsidR="008D7AAF" w:rsidRDefault="008D7AAF"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B749" w14:textId="77777777" w:rsidR="00C9069E" w:rsidRDefault="00C9069E"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C9069E" w:rsidRDefault="00C9069E"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215997"/>
      <w:docPartObj>
        <w:docPartGallery w:val="Page Numbers (Bottom of Page)"/>
        <w:docPartUnique/>
      </w:docPartObj>
    </w:sdtPr>
    <w:sdtEndPr>
      <w:rPr>
        <w:noProof/>
      </w:rPr>
    </w:sdtEndPr>
    <w:sdtContent>
      <w:p w14:paraId="506018B3" w14:textId="4DD91A6D" w:rsidR="00C9069E" w:rsidRDefault="0007082D" w:rsidP="0007082D">
        <w:pPr>
          <w:pStyle w:val="Footer"/>
          <w:pBdr>
            <w:top w:val="single" w:sz="4" w:space="1" w:color="auto"/>
          </w:pBdr>
          <w:ind w:right="360"/>
          <w:rPr>
            <w:rStyle w:val="PageNumber"/>
          </w:rPr>
        </w:pPr>
        <w:r w:rsidRPr="008644E6">
          <w:rPr>
            <w:sz w:val="20"/>
            <w:szCs w:val="20"/>
          </w:rPr>
          <w:t xml:space="preserve">Policy Name: </w:t>
        </w:r>
        <w:r>
          <w:rPr>
            <w:sz w:val="20"/>
            <w:szCs w:val="20"/>
          </w:rPr>
          <w:t xml:space="preserve">Decision making and Consent   </w:t>
        </w:r>
        <w:r>
          <w:rPr>
            <w:sz w:val="20"/>
            <w:szCs w:val="20"/>
          </w:rPr>
          <w:tab/>
          <w:t xml:space="preserve">Policy </w:t>
        </w:r>
        <w:r w:rsidRPr="00596E20">
          <w:rPr>
            <w:sz w:val="20"/>
            <w:szCs w:val="20"/>
          </w:rPr>
          <w:t>Number</w:t>
        </w:r>
        <w:r>
          <w:rPr>
            <w:sz w:val="20"/>
            <w:szCs w:val="20"/>
          </w:rPr>
          <w:t xml:space="preserve">: </w:t>
        </w:r>
        <w:r w:rsidR="00C92551">
          <w:rPr>
            <w:sz w:val="20"/>
            <w:szCs w:val="20"/>
          </w:rPr>
          <w:t>C1</w:t>
        </w:r>
        <w:r>
          <w:rPr>
            <w:sz w:val="20"/>
            <w:szCs w:val="20"/>
          </w:rPr>
          <w:t xml:space="preserve">  </w:t>
        </w:r>
        <w:r w:rsidRPr="008644E6">
          <w:rPr>
            <w:sz w:val="20"/>
            <w:szCs w:val="20"/>
          </w:rPr>
          <w:t xml:space="preserve">Version Number: </w:t>
        </w:r>
        <w:r>
          <w:rPr>
            <w:sz w:val="20"/>
            <w:szCs w:val="20"/>
          </w:rPr>
          <w:t>V-</w:t>
        </w:r>
        <w:r w:rsidR="006D23A8">
          <w:rPr>
            <w:sz w:val="20"/>
            <w:szCs w:val="20"/>
          </w:rPr>
          <w:t>3</w:t>
        </w:r>
        <w:r>
          <w:rPr>
            <w:sz w:val="20"/>
            <w:szCs w:val="20"/>
          </w:rPr>
          <w:tab/>
        </w:r>
        <w:r>
          <w:rPr>
            <w:sz w:val="20"/>
            <w:szCs w:val="20"/>
          </w:rPr>
          <w:tab/>
        </w:r>
        <w:r w:rsidR="00C9069E">
          <w:rPr>
            <w:rStyle w:val="PageNumber"/>
          </w:rPr>
          <w:fldChar w:fldCharType="begin"/>
        </w:r>
        <w:r w:rsidR="00C9069E">
          <w:rPr>
            <w:rStyle w:val="PageNumber"/>
          </w:rPr>
          <w:instrText xml:space="preserve">PAGE  </w:instrText>
        </w:r>
        <w:r w:rsidR="00C9069E">
          <w:rPr>
            <w:rStyle w:val="PageNumber"/>
          </w:rPr>
          <w:fldChar w:fldCharType="separate"/>
        </w:r>
        <w:r w:rsidR="00BF426C">
          <w:rPr>
            <w:rStyle w:val="PageNumber"/>
            <w:noProof/>
          </w:rPr>
          <w:t>1</w:t>
        </w:r>
        <w:r w:rsidR="00C9069E">
          <w:rPr>
            <w:rStyle w:val="PageNumber"/>
          </w:rPr>
          <w:fldChar w:fldCharType="end"/>
        </w:r>
      </w:p>
      <w:p w14:paraId="11A07474" w14:textId="77777777" w:rsidR="00C9069E" w:rsidRDefault="00C9069E" w:rsidP="00177F88">
        <w:pPr>
          <w:pStyle w:val="Footer"/>
          <w:framePr w:wrap="around" w:vAnchor="text" w:hAnchor="margin" w:xAlign="right" w:y="85"/>
          <w:ind w:right="360"/>
          <w:rPr>
            <w:rStyle w:val="PageNumber"/>
          </w:rPr>
        </w:pPr>
      </w:p>
      <w:p w14:paraId="55C63537" w14:textId="1254DB6E" w:rsidR="00C9069E" w:rsidRDefault="00C9069E" w:rsidP="00085EE6">
        <w:pPr>
          <w:pStyle w:val="Footer"/>
        </w:pPr>
        <w:r>
          <w:tab/>
          <w:t xml:space="preserve"> </w:t>
        </w:r>
      </w:p>
      <w:p w14:paraId="1BCA89B6" w14:textId="0A06E44A" w:rsidR="00C9069E" w:rsidRDefault="00C9069E" w:rsidP="00085EE6">
        <w:pPr>
          <w:pStyle w:val="Footer"/>
        </w:pPr>
        <w:r>
          <w:tab/>
        </w:r>
      </w:p>
      <w:p w14:paraId="7CB4354B" w14:textId="36A6A885" w:rsidR="00C9069E" w:rsidRDefault="00C9069E">
        <w:pPr>
          <w:pStyle w:val="Footer"/>
          <w:jc w:val="center"/>
        </w:pPr>
        <w:r>
          <w:t xml:space="preserve"> </w:t>
        </w:r>
      </w:p>
    </w:sdtContent>
  </w:sdt>
  <w:p w14:paraId="286D79BB" w14:textId="77777777" w:rsidR="00C9069E" w:rsidRDefault="00C906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3BE6B" w14:textId="77777777" w:rsidR="00C92551" w:rsidRDefault="00C92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EA36D" w14:textId="77777777" w:rsidR="008D7AAF" w:rsidRDefault="008D7AAF" w:rsidP="00EC572F">
      <w:pPr>
        <w:spacing w:after="0" w:line="240" w:lineRule="auto"/>
      </w:pPr>
      <w:r>
        <w:separator/>
      </w:r>
    </w:p>
  </w:footnote>
  <w:footnote w:type="continuationSeparator" w:id="0">
    <w:p w14:paraId="047F1C77" w14:textId="77777777" w:rsidR="008D7AAF" w:rsidRDefault="008D7AAF" w:rsidP="00EC572F">
      <w:pPr>
        <w:spacing w:after="0" w:line="240" w:lineRule="auto"/>
      </w:pPr>
      <w:r>
        <w:continuationSeparator/>
      </w:r>
    </w:p>
  </w:footnote>
  <w:footnote w:id="1">
    <w:p w14:paraId="217001B7" w14:textId="77777777" w:rsidR="00C9069E" w:rsidRPr="00125391" w:rsidRDefault="00C9069E" w:rsidP="003257D7">
      <w:pPr>
        <w:pStyle w:val="FootnoteText"/>
        <w:rPr>
          <w:i/>
        </w:rPr>
      </w:pPr>
      <w:r>
        <w:rPr>
          <w:rStyle w:val="FootnoteReference"/>
        </w:rPr>
        <w:footnoteRef/>
      </w:r>
      <w:r>
        <w:t xml:space="preserve"> Bigby, C., </w:t>
      </w:r>
      <w:r>
        <w:rPr>
          <w:i/>
        </w:rPr>
        <w:t>Support for decision making, a practice framework,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F91B7" w14:textId="77777777" w:rsidR="00C92551" w:rsidRDefault="00C92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EC08" w14:textId="2D2B7F92" w:rsidR="00C9069E" w:rsidRDefault="00C9069E" w:rsidP="00085EE6">
    <w:pPr>
      <w:pStyle w:val="Header"/>
    </w:pPr>
    <w:r>
      <w:rPr>
        <w:noProof/>
        <w:lang w:val="en-US"/>
      </w:rPr>
      <w:drawing>
        <wp:anchor distT="0" distB="0" distL="114300" distR="114300" simplePos="0" relativeHeight="251658240" behindDoc="0" locked="0" layoutInCell="1" allowOverlap="1" wp14:anchorId="781BCF12" wp14:editId="78C9D555">
          <wp:simplePos x="0" y="0"/>
          <wp:positionH relativeFrom="column">
            <wp:posOffset>3657600</wp:posOffset>
          </wp:positionH>
          <wp:positionV relativeFrom="paragraph">
            <wp:posOffset>-379730</wp:posOffset>
          </wp:positionV>
          <wp:extent cx="2171700" cy="1134110"/>
          <wp:effectExtent l="0" t="0" r="12700" b="8890"/>
          <wp:wrapTight wrapText="bothSides">
            <wp:wrapPolygon edited="0">
              <wp:start x="0" y="0"/>
              <wp:lineTo x="0" y="21286"/>
              <wp:lineTo x="21474" y="21286"/>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 insight logo.jpg"/>
                  <pic:cNvPicPr/>
                </pic:nvPicPr>
                <pic:blipFill>
                  <a:blip r:embed="rId1">
                    <a:extLst>
                      <a:ext uri="{28A0092B-C50C-407E-A947-70E740481C1C}">
                        <a14:useLocalDpi xmlns:a14="http://schemas.microsoft.com/office/drawing/2010/main" val="0"/>
                      </a:ext>
                    </a:extLst>
                  </a:blip>
                  <a:stretch>
                    <a:fillRect/>
                  </a:stretch>
                </pic:blipFill>
                <pic:spPr>
                  <a:xfrm>
                    <a:off x="0" y="0"/>
                    <a:ext cx="2171700" cy="11341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85AE55F" w14:textId="77777777" w:rsidR="00C9069E" w:rsidRDefault="00C9069E" w:rsidP="00085EE6">
    <w:pPr>
      <w:pStyle w:val="Header"/>
    </w:pPr>
  </w:p>
  <w:p w14:paraId="721E27A7" w14:textId="77777777" w:rsidR="00C9069E" w:rsidRDefault="00C9069E" w:rsidP="00085EE6">
    <w:pPr>
      <w:pStyle w:val="Header"/>
    </w:pPr>
  </w:p>
  <w:p w14:paraId="09E43013" w14:textId="77777777" w:rsidR="00C9069E" w:rsidRDefault="00C9069E" w:rsidP="00085EE6">
    <w:pPr>
      <w:pStyle w:val="Header"/>
    </w:pPr>
  </w:p>
  <w:p w14:paraId="085A56A2" w14:textId="66F0564C" w:rsidR="00C9069E" w:rsidRPr="00085EE6" w:rsidRDefault="00C9069E" w:rsidP="00085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EB41" w14:textId="77777777" w:rsidR="00C92551" w:rsidRDefault="00C92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6464C37"/>
    <w:multiLevelType w:val="hybridMultilevel"/>
    <w:tmpl w:val="9044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482883"/>
    <w:multiLevelType w:val="hybridMultilevel"/>
    <w:tmpl w:val="D3F288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52782B"/>
    <w:multiLevelType w:val="hybridMultilevel"/>
    <w:tmpl w:val="B688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DB6BFA"/>
    <w:multiLevelType w:val="hybridMultilevel"/>
    <w:tmpl w:val="3B24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5"/>
  </w:num>
  <w:num w:numId="4">
    <w:abstractNumId w:val="6"/>
  </w:num>
  <w:num w:numId="5">
    <w:abstractNumId w:val="2"/>
  </w:num>
  <w:num w:numId="6">
    <w:abstractNumId w:val="4"/>
  </w:num>
  <w:num w:numId="7">
    <w:abstractNumId w:val="8"/>
  </w:num>
  <w:num w:numId="8">
    <w:abstractNumId w:val="10"/>
  </w:num>
  <w:num w:numId="9">
    <w:abstractNumId w:val="12"/>
  </w:num>
  <w:num w:numId="10">
    <w:abstractNumId w:val="11"/>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7"/>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03"/>
    <w:rsid w:val="000661FA"/>
    <w:rsid w:val="0007082D"/>
    <w:rsid w:val="00085EE6"/>
    <w:rsid w:val="000C11D5"/>
    <w:rsid w:val="00105806"/>
    <w:rsid w:val="00133617"/>
    <w:rsid w:val="0015265C"/>
    <w:rsid w:val="00177F88"/>
    <w:rsid w:val="001B1DE5"/>
    <w:rsid w:val="001C0C73"/>
    <w:rsid w:val="001C62FC"/>
    <w:rsid w:val="00227F96"/>
    <w:rsid w:val="00273720"/>
    <w:rsid w:val="002B7C39"/>
    <w:rsid w:val="002C5FAF"/>
    <w:rsid w:val="0030663F"/>
    <w:rsid w:val="003257D7"/>
    <w:rsid w:val="00350F23"/>
    <w:rsid w:val="003B6BC8"/>
    <w:rsid w:val="003F49E9"/>
    <w:rsid w:val="0042353B"/>
    <w:rsid w:val="004411F0"/>
    <w:rsid w:val="004575C5"/>
    <w:rsid w:val="004947AA"/>
    <w:rsid w:val="00496A3C"/>
    <w:rsid w:val="00555B03"/>
    <w:rsid w:val="0056650E"/>
    <w:rsid w:val="0059655D"/>
    <w:rsid w:val="005D3DB0"/>
    <w:rsid w:val="005F1551"/>
    <w:rsid w:val="00604B1A"/>
    <w:rsid w:val="006B676C"/>
    <w:rsid w:val="006D23A8"/>
    <w:rsid w:val="00700D41"/>
    <w:rsid w:val="00741E80"/>
    <w:rsid w:val="007B0871"/>
    <w:rsid w:val="00875D96"/>
    <w:rsid w:val="008D7AAF"/>
    <w:rsid w:val="00954D76"/>
    <w:rsid w:val="009B10B9"/>
    <w:rsid w:val="009B2358"/>
    <w:rsid w:val="009F0026"/>
    <w:rsid w:val="00AA2A14"/>
    <w:rsid w:val="00B267BA"/>
    <w:rsid w:val="00B34B86"/>
    <w:rsid w:val="00B52BCB"/>
    <w:rsid w:val="00BA541F"/>
    <w:rsid w:val="00BC65F1"/>
    <w:rsid w:val="00BE4E4B"/>
    <w:rsid w:val="00BF426C"/>
    <w:rsid w:val="00C20438"/>
    <w:rsid w:val="00C31984"/>
    <w:rsid w:val="00C3713D"/>
    <w:rsid w:val="00C749F2"/>
    <w:rsid w:val="00C9069E"/>
    <w:rsid w:val="00C92551"/>
    <w:rsid w:val="00CA4C22"/>
    <w:rsid w:val="00D0163B"/>
    <w:rsid w:val="00D42490"/>
    <w:rsid w:val="00D7667B"/>
    <w:rsid w:val="00DA3ED0"/>
    <w:rsid w:val="00DB210C"/>
    <w:rsid w:val="00DD2A9C"/>
    <w:rsid w:val="00DF6EA5"/>
    <w:rsid w:val="00E119A0"/>
    <w:rsid w:val="00EB35C1"/>
    <w:rsid w:val="00EC572F"/>
    <w:rsid w:val="00EE2569"/>
    <w:rsid w:val="00F0102A"/>
    <w:rsid w:val="00F401B4"/>
    <w:rsid w:val="00FE75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587BF"/>
  <w15:docId w15:val="{3177A5FD-377B-E044-AED8-B51F9C26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71"/>
    <w:rPr>
      <w:rFonts w:ascii="Arial" w:hAnsi="Arial"/>
      <w:sz w:val="24"/>
    </w:rPr>
  </w:style>
  <w:style w:type="paragraph" w:styleId="Heading1">
    <w:name w:val="heading 1"/>
    <w:basedOn w:val="Normal"/>
    <w:next w:val="Normal"/>
    <w:link w:val="Heading1Char"/>
    <w:uiPriority w:val="9"/>
    <w:qFormat/>
    <w:rsid w:val="0007082D"/>
    <w:pPr>
      <w:keepNext/>
      <w:keepLines/>
      <w:spacing w:before="480" w:after="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uiPriority w:val="9"/>
    <w:unhideWhenUsed/>
    <w:qFormat/>
    <w:rsid w:val="0007082D"/>
    <w:pPr>
      <w:keepNext/>
      <w:keepLines/>
      <w:spacing w:before="200" w:after="0"/>
      <w:outlineLvl w:val="1"/>
    </w:pPr>
    <w:rPr>
      <w:rFonts w:ascii="Century Gothic" w:eastAsiaTheme="majorEastAsia" w:hAnsi="Century Gothic" w:cstheme="majorBidi"/>
      <w:b/>
      <w:bCs/>
      <w:color w:val="000000" w:themeColor="text1"/>
      <w:sz w:val="26"/>
      <w:szCs w:val="26"/>
    </w:rPr>
  </w:style>
  <w:style w:type="paragraph" w:styleId="Heading3">
    <w:name w:val="heading 3"/>
    <w:basedOn w:val="Normal"/>
    <w:next w:val="Normal"/>
    <w:link w:val="Heading3Char"/>
    <w:uiPriority w:val="9"/>
    <w:unhideWhenUsed/>
    <w:qFormat/>
    <w:rsid w:val="009B10B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7082D"/>
    <w:rPr>
      <w:rFonts w:ascii="Century Gothic" w:eastAsiaTheme="majorEastAsia" w:hAnsi="Century Gothic" w:cstheme="majorBidi"/>
      <w:b/>
      <w:bCs/>
      <w:color w:val="000000" w:themeColor="text1"/>
      <w:sz w:val="26"/>
      <w:szCs w:val="26"/>
    </w:rPr>
  </w:style>
  <w:style w:type="character" w:customStyle="1" w:styleId="Heading1Char">
    <w:name w:val="Heading 1 Char"/>
    <w:basedOn w:val="DefaultParagraphFont"/>
    <w:link w:val="Heading1"/>
    <w:uiPriority w:val="9"/>
    <w:rsid w:val="0007082D"/>
    <w:rPr>
      <w:rFonts w:ascii="Century Gothic" w:eastAsiaTheme="majorEastAsia" w:hAnsi="Century Gothic" w:cstheme="majorBidi"/>
      <w:b/>
      <w:bCs/>
      <w:color w:val="000000" w:themeColor="text1"/>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07082D"/>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paragraph" w:styleId="FootnoteText">
    <w:name w:val="footnote text"/>
    <w:basedOn w:val="Normal"/>
    <w:link w:val="FootnoteTextChar"/>
    <w:uiPriority w:val="99"/>
    <w:unhideWhenUsed/>
    <w:rsid w:val="003257D7"/>
    <w:pPr>
      <w:spacing w:after="0" w:line="240" w:lineRule="auto"/>
    </w:pPr>
    <w:rPr>
      <w:rFonts w:asciiTheme="minorHAnsi" w:eastAsiaTheme="minorEastAsia" w:hAnsiTheme="minorHAnsi"/>
      <w:szCs w:val="24"/>
      <w:lang w:val="en-US"/>
    </w:rPr>
  </w:style>
  <w:style w:type="character" w:customStyle="1" w:styleId="FootnoteTextChar">
    <w:name w:val="Footnote Text Char"/>
    <w:basedOn w:val="DefaultParagraphFont"/>
    <w:link w:val="FootnoteText"/>
    <w:uiPriority w:val="99"/>
    <w:rsid w:val="003257D7"/>
    <w:rPr>
      <w:rFonts w:eastAsiaTheme="minorEastAsia"/>
      <w:sz w:val="24"/>
      <w:szCs w:val="24"/>
      <w:lang w:val="en-US"/>
    </w:rPr>
  </w:style>
  <w:style w:type="character" w:styleId="FootnoteReference">
    <w:name w:val="footnote reference"/>
    <w:basedOn w:val="DefaultParagraphFont"/>
    <w:uiPriority w:val="99"/>
    <w:unhideWhenUsed/>
    <w:rsid w:val="003257D7"/>
    <w:rPr>
      <w:vertAlign w:val="superscript"/>
    </w:rPr>
  </w:style>
  <w:style w:type="character" w:customStyle="1" w:styleId="Heading3Char">
    <w:name w:val="Heading 3 Char"/>
    <w:basedOn w:val="DefaultParagraphFont"/>
    <w:link w:val="Heading3"/>
    <w:uiPriority w:val="9"/>
    <w:rsid w:val="009B10B9"/>
    <w:rPr>
      <w:rFonts w:ascii="Arial" w:eastAsiaTheme="majorEastAsia" w:hAnsi="Arial" w:cstheme="majorBidi"/>
      <w:b/>
      <w:bCs/>
      <w:sz w:val="24"/>
    </w:rPr>
  </w:style>
  <w:style w:type="paragraph" w:styleId="TOC3">
    <w:name w:val="toc 3"/>
    <w:basedOn w:val="Normal"/>
    <w:next w:val="Normal"/>
    <w:autoRedefine/>
    <w:uiPriority w:val="39"/>
    <w:unhideWhenUsed/>
    <w:rsid w:val="009B10B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639034">
      <w:bodyDiv w:val="1"/>
      <w:marLeft w:val="0"/>
      <w:marRight w:val="0"/>
      <w:marTop w:val="0"/>
      <w:marBottom w:val="0"/>
      <w:divBdr>
        <w:top w:val="none" w:sz="0" w:space="0" w:color="auto"/>
        <w:left w:val="none" w:sz="0" w:space="0" w:color="auto"/>
        <w:bottom w:val="none" w:sz="0" w:space="0" w:color="auto"/>
        <w:right w:val="none" w:sz="0" w:space="0" w:color="auto"/>
      </w:divBdr>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9FFE5-98F1-3946-8A67-E0E082CD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Barbel Winter</cp:lastModifiedBy>
  <cp:revision>4</cp:revision>
  <cp:lastPrinted>2015-04-21T02:31:00Z</cp:lastPrinted>
  <dcterms:created xsi:type="dcterms:W3CDTF">2019-11-26T09:43:00Z</dcterms:created>
  <dcterms:modified xsi:type="dcterms:W3CDTF">2020-02-28T00:03:00Z</dcterms:modified>
  <cp:category/>
</cp:coreProperties>
</file>