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D8C0" w14:textId="61A65F9A" w:rsidR="14B02325" w:rsidRDefault="14B02325" w:rsidP="708AD3B3">
      <w:pPr>
        <w:spacing w:before="480" w:after="0"/>
        <w:rPr>
          <w:rFonts w:ascii="Century Gothic" w:eastAsia="Century Gothic" w:hAnsi="Century Gothic" w:cs="Century Gothic"/>
          <w:b/>
          <w:bCs/>
          <w:color w:val="00A19B"/>
          <w:sz w:val="32"/>
          <w:szCs w:val="32"/>
          <w:lang w:val="en-US"/>
        </w:rPr>
      </w:pPr>
      <w:r w:rsidRPr="708AD3B3">
        <w:rPr>
          <w:rFonts w:ascii="Century Gothic" w:eastAsia="Century Gothic" w:hAnsi="Century Gothic" w:cs="Century Gothic"/>
          <w:b/>
          <w:bCs/>
          <w:color w:val="00A19B"/>
          <w:sz w:val="32"/>
          <w:szCs w:val="32"/>
        </w:rPr>
        <w:t>Plan Management: Payment of Invoices Policy</w:t>
      </w:r>
    </w:p>
    <w:p w14:paraId="592697D1" w14:textId="4413DF6C" w:rsidR="708AD3B3" w:rsidRDefault="708AD3B3" w:rsidP="708AD3B3">
      <w:pPr>
        <w:spacing w:after="0" w:line="360" w:lineRule="auto"/>
        <w:rPr>
          <w:rFonts w:eastAsia="Arial" w:cs="Arial"/>
          <w:b/>
          <w:bCs/>
          <w:color w:val="000000" w:themeColor="text1"/>
          <w:szCs w:val="24"/>
          <w:lang w:val="en-US"/>
        </w:rPr>
      </w:pPr>
    </w:p>
    <w:p w14:paraId="04161BD2" w14:textId="49885199" w:rsidR="14B02325" w:rsidRDefault="14B02325" w:rsidP="708AD3B3">
      <w:pPr>
        <w:spacing w:after="0" w:line="360" w:lineRule="auto"/>
        <w:rPr>
          <w:rFonts w:ascii="Century Gothic" w:eastAsia="Century Gothic" w:hAnsi="Century Gothic" w:cs="Century Gothic"/>
          <w:b/>
          <w:bCs/>
          <w:color w:val="000000" w:themeColor="text1"/>
          <w:sz w:val="26"/>
          <w:szCs w:val="26"/>
          <w:lang w:val="en-US"/>
        </w:rPr>
      </w:pPr>
      <w:r w:rsidRPr="708AD3B3">
        <w:rPr>
          <w:rFonts w:ascii="Century Gothic" w:eastAsia="Century Gothic" w:hAnsi="Century Gothic" w:cs="Century Gothic"/>
          <w:b/>
          <w:bCs/>
          <w:color w:val="000000" w:themeColor="text1"/>
          <w:sz w:val="26"/>
          <w:szCs w:val="26"/>
          <w:lang w:val="en-US"/>
        </w:rPr>
        <w:t xml:space="preserve">Policy </w:t>
      </w:r>
    </w:p>
    <w:p w14:paraId="409DE1BF" w14:textId="493F1848" w:rsidR="14B02325" w:rsidRDefault="14B02325" w:rsidP="708AD3B3">
      <w:pPr>
        <w:spacing w:before="120" w:after="0"/>
        <w:rPr>
          <w:rFonts w:eastAsia="Arial" w:cs="Arial"/>
          <w:b/>
          <w:bCs/>
          <w:color w:val="000000" w:themeColor="text1"/>
          <w:szCs w:val="24"/>
          <w:lang w:val="en-US"/>
        </w:rPr>
      </w:pPr>
      <w:r w:rsidRPr="708AD3B3">
        <w:rPr>
          <w:rFonts w:eastAsia="Arial" w:cs="Arial"/>
          <w:i/>
          <w:iCs/>
          <w:color w:val="000000" w:themeColor="text1"/>
          <w:szCs w:val="24"/>
          <w:lang w:val="en-US"/>
        </w:rPr>
        <w:t xml:space="preserve">futures in sight </w:t>
      </w:r>
      <w:proofErr w:type="gramStart"/>
      <w:r w:rsidRPr="708AD3B3">
        <w:rPr>
          <w:rFonts w:eastAsia="Arial" w:cs="Arial"/>
          <w:color w:val="000000" w:themeColor="text1"/>
          <w:szCs w:val="24"/>
          <w:lang w:val="en-US"/>
        </w:rPr>
        <w:t>is</w:t>
      </w:r>
      <w:proofErr w:type="gramEnd"/>
      <w:r w:rsidRPr="708AD3B3">
        <w:rPr>
          <w:rFonts w:eastAsia="Arial" w:cs="Arial"/>
          <w:color w:val="000000" w:themeColor="text1"/>
          <w:szCs w:val="24"/>
          <w:lang w:val="en-US"/>
        </w:rPr>
        <w:t xml:space="preserve"> committed </w:t>
      </w:r>
      <w:r w:rsidRPr="708AD3B3">
        <w:rPr>
          <w:rFonts w:eastAsia="Arial" w:cs="Arial"/>
          <w:color w:val="000000" w:themeColor="text1"/>
          <w:szCs w:val="24"/>
        </w:rPr>
        <w:t>to ensuring people with disability receive services which are value for money. We are also committed to support providers and their organisations being paid for the services they provide in line with relevant legislation and guidelines.</w:t>
      </w:r>
    </w:p>
    <w:p w14:paraId="0F5743C8" w14:textId="6AF7CF69" w:rsidR="708AD3B3" w:rsidRDefault="708AD3B3" w:rsidP="708AD3B3">
      <w:pPr>
        <w:rPr>
          <w:rFonts w:eastAsia="Arial" w:cs="Arial"/>
          <w:color w:val="000000" w:themeColor="text1"/>
          <w:szCs w:val="24"/>
          <w:lang w:val="en-US"/>
        </w:rPr>
      </w:pPr>
    </w:p>
    <w:p w14:paraId="4F1025E9" w14:textId="26359A06" w:rsidR="14B02325" w:rsidRDefault="14B02325" w:rsidP="708AD3B3">
      <w:pPr>
        <w:spacing w:after="0" w:line="360" w:lineRule="auto"/>
        <w:rPr>
          <w:rFonts w:ascii="Century Gothic" w:eastAsia="Century Gothic" w:hAnsi="Century Gothic" w:cs="Century Gothic"/>
          <w:b/>
          <w:bCs/>
          <w:color w:val="000000" w:themeColor="text1"/>
          <w:sz w:val="26"/>
          <w:szCs w:val="26"/>
          <w:lang w:val="en-US"/>
        </w:rPr>
      </w:pPr>
      <w:r w:rsidRPr="708AD3B3">
        <w:rPr>
          <w:rFonts w:ascii="Century Gothic" w:eastAsia="Century Gothic" w:hAnsi="Century Gothic" w:cs="Century Gothic"/>
          <w:b/>
          <w:bCs/>
          <w:color w:val="000000" w:themeColor="text1"/>
          <w:sz w:val="26"/>
          <w:szCs w:val="26"/>
          <w:lang w:val="en-US"/>
        </w:rPr>
        <w:t>Scope</w:t>
      </w:r>
    </w:p>
    <w:p w14:paraId="4B77B9D8" w14:textId="3B3F5493" w:rsidR="14B02325" w:rsidRDefault="14B02325" w:rsidP="708AD3B3">
      <w:pPr>
        <w:spacing w:before="120" w:after="0"/>
        <w:rPr>
          <w:rFonts w:eastAsia="Arial" w:cs="Arial"/>
          <w:b/>
          <w:bCs/>
          <w:color w:val="000000" w:themeColor="text1"/>
          <w:szCs w:val="24"/>
          <w:lang w:val="en-US"/>
        </w:rPr>
      </w:pPr>
      <w:r w:rsidRPr="708AD3B3">
        <w:rPr>
          <w:rFonts w:eastAsia="Arial" w:cs="Arial"/>
          <w:color w:val="000000" w:themeColor="text1"/>
          <w:szCs w:val="24"/>
          <w:lang w:val="en"/>
        </w:rPr>
        <w:t xml:space="preserve">All </w:t>
      </w:r>
      <w:r w:rsidRPr="708AD3B3">
        <w:rPr>
          <w:rFonts w:eastAsia="Arial" w:cs="Arial"/>
          <w:color w:val="000000" w:themeColor="text1"/>
          <w:szCs w:val="24"/>
        </w:rPr>
        <w:t xml:space="preserve">Partners, </w:t>
      </w:r>
      <w:r w:rsidR="00245AE8">
        <w:rPr>
          <w:rFonts w:eastAsia="Arial" w:cs="Arial"/>
          <w:color w:val="000000" w:themeColor="text1"/>
          <w:szCs w:val="24"/>
        </w:rPr>
        <w:t>Employees</w:t>
      </w:r>
      <w:r w:rsidRPr="708AD3B3">
        <w:rPr>
          <w:rFonts w:eastAsia="Arial" w:cs="Arial"/>
          <w:color w:val="000000" w:themeColor="text1"/>
          <w:szCs w:val="24"/>
        </w:rPr>
        <w:t xml:space="preserve">, </w:t>
      </w:r>
      <w:proofErr w:type="gramStart"/>
      <w:r w:rsidRPr="708AD3B3">
        <w:rPr>
          <w:rFonts w:eastAsia="Arial" w:cs="Arial"/>
          <w:color w:val="000000" w:themeColor="text1"/>
          <w:szCs w:val="24"/>
        </w:rPr>
        <w:t>Contractors</w:t>
      </w:r>
      <w:proofErr w:type="gramEnd"/>
      <w:r w:rsidRPr="708AD3B3">
        <w:rPr>
          <w:rFonts w:eastAsia="Arial" w:cs="Arial"/>
          <w:color w:val="000000" w:themeColor="text1"/>
          <w:szCs w:val="24"/>
        </w:rPr>
        <w:t xml:space="preserve"> and Volunteers</w:t>
      </w:r>
    </w:p>
    <w:p w14:paraId="02074495" w14:textId="70D69973" w:rsidR="708AD3B3" w:rsidRDefault="708AD3B3" w:rsidP="708AD3B3">
      <w:pPr>
        <w:spacing w:before="120" w:after="0"/>
        <w:rPr>
          <w:rFonts w:ascii="Times New Roman" w:eastAsia="Times New Roman" w:hAnsi="Times New Roman" w:cs="Times New Roman"/>
          <w:b/>
          <w:bCs/>
          <w:color w:val="000000" w:themeColor="text1"/>
          <w:szCs w:val="24"/>
          <w:lang w:val="en-US"/>
        </w:rPr>
      </w:pPr>
    </w:p>
    <w:p w14:paraId="2521993E" w14:textId="5C7680CF" w:rsidR="14B02325" w:rsidRDefault="14B02325" w:rsidP="708AD3B3">
      <w:pPr>
        <w:spacing w:after="0" w:line="360" w:lineRule="auto"/>
        <w:rPr>
          <w:rFonts w:ascii="Century Gothic" w:eastAsia="Century Gothic" w:hAnsi="Century Gothic" w:cs="Century Gothic"/>
          <w:b/>
          <w:bCs/>
          <w:color w:val="000000" w:themeColor="text1"/>
          <w:sz w:val="26"/>
          <w:szCs w:val="26"/>
          <w:lang w:val="en-US"/>
        </w:rPr>
      </w:pPr>
      <w:r w:rsidRPr="708AD3B3">
        <w:rPr>
          <w:rFonts w:ascii="Century Gothic" w:eastAsia="Century Gothic" w:hAnsi="Century Gothic" w:cs="Century Gothic"/>
          <w:b/>
          <w:bCs/>
          <w:color w:val="000000" w:themeColor="text1"/>
          <w:sz w:val="26"/>
          <w:szCs w:val="26"/>
        </w:rPr>
        <w:t>Legislation</w:t>
      </w:r>
    </w:p>
    <w:p w14:paraId="57165FBC" w14:textId="0C0D25BA" w:rsidR="14B02325" w:rsidRDefault="14B02325" w:rsidP="708AD3B3">
      <w:pPr>
        <w:pStyle w:val="ListParagraph"/>
        <w:numPr>
          <w:ilvl w:val="0"/>
          <w:numId w:val="4"/>
        </w:numPr>
        <w:rPr>
          <w:rFonts w:asciiTheme="minorHAnsi" w:eastAsiaTheme="minorEastAsia" w:hAnsiTheme="minorHAnsi"/>
          <w:color w:val="000000" w:themeColor="text1"/>
          <w:szCs w:val="24"/>
          <w:lang w:val="en-US"/>
        </w:rPr>
      </w:pPr>
      <w:r w:rsidRPr="708AD3B3">
        <w:rPr>
          <w:rFonts w:eastAsia="Arial" w:cs="Arial"/>
          <w:color w:val="000000" w:themeColor="text1"/>
          <w:szCs w:val="24"/>
        </w:rPr>
        <w:t>National Disability Insurance Scheme Act, 2013</w:t>
      </w:r>
    </w:p>
    <w:p w14:paraId="5D91605C" w14:textId="5A414BEC" w:rsidR="14B02325" w:rsidRDefault="14B02325" w:rsidP="708AD3B3">
      <w:pPr>
        <w:pStyle w:val="ListParagraph"/>
        <w:numPr>
          <w:ilvl w:val="0"/>
          <w:numId w:val="4"/>
        </w:numPr>
        <w:rPr>
          <w:rFonts w:asciiTheme="minorHAnsi" w:eastAsiaTheme="minorEastAsia" w:hAnsiTheme="minorHAnsi"/>
          <w:color w:val="000000" w:themeColor="text1"/>
          <w:szCs w:val="24"/>
          <w:lang w:val="en-US"/>
        </w:rPr>
      </w:pPr>
      <w:r w:rsidRPr="708AD3B3">
        <w:rPr>
          <w:rFonts w:eastAsia="Arial" w:cs="Arial"/>
          <w:color w:val="000000" w:themeColor="text1"/>
          <w:szCs w:val="24"/>
        </w:rPr>
        <w:t>NDIA guidelines</w:t>
      </w:r>
    </w:p>
    <w:p w14:paraId="7185E4B5" w14:textId="159A1090" w:rsidR="08D4119B" w:rsidRDefault="08D4119B" w:rsidP="708AD3B3">
      <w:pPr>
        <w:spacing w:beforeAutospacing="1" w:afterAutospacing="1" w:line="240" w:lineRule="auto"/>
        <w:rPr>
          <w:rFonts w:ascii="ArialMT" w:eastAsia="ArialMT" w:hAnsi="ArialMT" w:cs="ArialMT"/>
          <w:color w:val="000000" w:themeColor="text1"/>
          <w:sz w:val="22"/>
          <w:lang w:val="en-US"/>
        </w:rPr>
      </w:pPr>
      <w:r w:rsidRPr="708AD3B3">
        <w:rPr>
          <w:rFonts w:eastAsia="Arial" w:cs="Arial"/>
          <w:color w:val="000000" w:themeColor="text1"/>
          <w:szCs w:val="24"/>
        </w:rPr>
        <w:t>A</w:t>
      </w:r>
      <w:r w:rsidR="14B02325" w:rsidRPr="708AD3B3">
        <w:rPr>
          <w:rFonts w:eastAsia="Arial" w:cs="Arial"/>
          <w:color w:val="000000" w:themeColor="text1"/>
          <w:szCs w:val="24"/>
        </w:rPr>
        <w:t xml:space="preserve">s a registered Provider under section 70 of the NDIS Act, it is </w:t>
      </w:r>
      <w:r w:rsidR="00245AE8">
        <w:rPr>
          <w:rFonts w:eastAsia="Arial" w:cs="Arial"/>
          <w:color w:val="000000" w:themeColor="text1"/>
          <w:szCs w:val="24"/>
        </w:rPr>
        <w:t xml:space="preserve">our </w:t>
      </w:r>
      <w:r w:rsidR="14B02325" w:rsidRPr="708AD3B3">
        <w:rPr>
          <w:rFonts w:eastAsia="Arial" w:cs="Arial"/>
          <w:color w:val="000000" w:themeColor="text1"/>
          <w:szCs w:val="24"/>
        </w:rPr>
        <w:t xml:space="preserve">responsibility to ensure that </w:t>
      </w:r>
      <w:r w:rsidR="00245AE8">
        <w:rPr>
          <w:rFonts w:eastAsia="Arial" w:cs="Arial"/>
          <w:color w:val="000000" w:themeColor="text1"/>
          <w:szCs w:val="24"/>
        </w:rPr>
        <w:t xml:space="preserve">plan managed </w:t>
      </w:r>
      <w:r w:rsidR="14B02325" w:rsidRPr="708AD3B3">
        <w:rPr>
          <w:rFonts w:eastAsia="Arial" w:cs="Arial"/>
          <w:color w:val="000000" w:themeColor="text1"/>
          <w:szCs w:val="24"/>
        </w:rPr>
        <w:t>claim</w:t>
      </w:r>
      <w:r w:rsidR="00245AE8">
        <w:rPr>
          <w:rFonts w:eastAsia="Arial" w:cs="Arial"/>
          <w:color w:val="000000" w:themeColor="text1"/>
          <w:szCs w:val="24"/>
        </w:rPr>
        <w:t>s for participants</w:t>
      </w:r>
      <w:r w:rsidR="14B02325" w:rsidRPr="708AD3B3">
        <w:rPr>
          <w:rFonts w:eastAsia="Arial" w:cs="Arial"/>
          <w:color w:val="000000" w:themeColor="text1"/>
          <w:szCs w:val="24"/>
        </w:rPr>
        <w:t xml:space="preserve"> accurately reflects</w:t>
      </w:r>
      <w:r w:rsidR="14B02325" w:rsidRPr="708AD3B3">
        <w:rPr>
          <w:rFonts w:ascii="ArialMT" w:eastAsia="ArialMT" w:hAnsi="ArialMT" w:cs="ArialMT"/>
          <w:color w:val="000000" w:themeColor="text1"/>
          <w:sz w:val="22"/>
        </w:rPr>
        <w:t>:</w:t>
      </w:r>
    </w:p>
    <w:p w14:paraId="6CF4A52B" w14:textId="1369DE14" w:rsidR="14B02325" w:rsidRDefault="14B02325" w:rsidP="708AD3B3">
      <w:pPr>
        <w:pStyle w:val="ListParagraph"/>
        <w:numPr>
          <w:ilvl w:val="0"/>
          <w:numId w:val="4"/>
        </w:numPr>
        <w:rPr>
          <w:rFonts w:asciiTheme="minorHAnsi" w:eastAsiaTheme="minorEastAsia" w:hAnsiTheme="minorHAnsi"/>
          <w:color w:val="000000" w:themeColor="text1"/>
          <w:szCs w:val="24"/>
          <w:lang w:val="en-US"/>
        </w:rPr>
      </w:pPr>
      <w:r w:rsidRPr="708AD3B3">
        <w:rPr>
          <w:rFonts w:eastAsia="Arial" w:cs="Arial"/>
          <w:color w:val="000000" w:themeColor="text1"/>
          <w:szCs w:val="24"/>
        </w:rPr>
        <w:t xml:space="preserve">supports delivered, </w:t>
      </w:r>
    </w:p>
    <w:p w14:paraId="39A155D2" w14:textId="613A0B52" w:rsidR="14B02325" w:rsidRDefault="14B02325" w:rsidP="708AD3B3">
      <w:pPr>
        <w:pStyle w:val="ListParagraph"/>
        <w:numPr>
          <w:ilvl w:val="0"/>
          <w:numId w:val="4"/>
        </w:numPr>
        <w:rPr>
          <w:rFonts w:asciiTheme="minorHAnsi" w:eastAsiaTheme="minorEastAsia" w:hAnsiTheme="minorHAnsi"/>
          <w:color w:val="000000" w:themeColor="text1"/>
          <w:szCs w:val="24"/>
          <w:lang w:val="en-US"/>
        </w:rPr>
      </w:pPr>
      <w:r w:rsidRPr="708AD3B3">
        <w:rPr>
          <w:rFonts w:eastAsia="Arial" w:cs="Arial"/>
          <w:color w:val="000000" w:themeColor="text1"/>
          <w:szCs w:val="24"/>
        </w:rPr>
        <w:t>the volume, and</w:t>
      </w:r>
    </w:p>
    <w:p w14:paraId="49257A3B" w14:textId="5A1AA0BB" w:rsidR="14B02325" w:rsidRDefault="14B02325" w:rsidP="708AD3B3">
      <w:pPr>
        <w:pStyle w:val="ListParagraph"/>
        <w:numPr>
          <w:ilvl w:val="0"/>
          <w:numId w:val="4"/>
        </w:numPr>
        <w:rPr>
          <w:rFonts w:asciiTheme="minorHAnsi" w:eastAsiaTheme="minorEastAsia" w:hAnsiTheme="minorHAnsi"/>
          <w:color w:val="000000" w:themeColor="text1"/>
          <w:szCs w:val="24"/>
          <w:lang w:val="en-US"/>
        </w:rPr>
      </w:pPr>
      <w:r w:rsidRPr="708AD3B3">
        <w:rPr>
          <w:rFonts w:eastAsia="Arial" w:cs="Arial"/>
          <w:color w:val="000000" w:themeColor="text1"/>
          <w:szCs w:val="24"/>
        </w:rPr>
        <w:t xml:space="preserve">the rate charged per unit (not exceeding the price limits stipulated in the NDIS Price Guide). </w:t>
      </w:r>
    </w:p>
    <w:p w14:paraId="6514118E" w14:textId="2E2908B9" w:rsidR="14B02325" w:rsidRDefault="14B02325" w:rsidP="708AD3B3">
      <w:pPr>
        <w:rPr>
          <w:rFonts w:eastAsia="Arial" w:cs="Arial"/>
          <w:color w:val="000000" w:themeColor="text1"/>
          <w:szCs w:val="24"/>
          <w:lang w:val="en-US"/>
        </w:rPr>
      </w:pPr>
      <w:r w:rsidRPr="708AD3B3">
        <w:rPr>
          <w:rFonts w:eastAsia="Arial" w:cs="Arial"/>
          <w:color w:val="000000" w:themeColor="text1"/>
          <w:szCs w:val="24"/>
        </w:rPr>
        <w:t xml:space="preserve">When providing and claiming for these supports, </w:t>
      </w:r>
      <w:r w:rsidR="00245AE8" w:rsidRPr="008A294F">
        <w:rPr>
          <w:rFonts w:eastAsia="Arial" w:cs="Arial"/>
          <w:i/>
          <w:iCs/>
          <w:color w:val="000000" w:themeColor="text1"/>
          <w:szCs w:val="24"/>
        </w:rPr>
        <w:t>futures in sight</w:t>
      </w:r>
      <w:r w:rsidRPr="708AD3B3">
        <w:rPr>
          <w:rFonts w:eastAsia="Arial" w:cs="Arial"/>
          <w:color w:val="000000" w:themeColor="text1"/>
          <w:szCs w:val="24"/>
        </w:rPr>
        <w:t xml:space="preserve"> compl</w:t>
      </w:r>
      <w:r w:rsidR="00245AE8">
        <w:rPr>
          <w:rFonts w:eastAsia="Arial" w:cs="Arial"/>
          <w:color w:val="000000" w:themeColor="text1"/>
          <w:szCs w:val="24"/>
        </w:rPr>
        <w:t>ies</w:t>
      </w:r>
      <w:r w:rsidRPr="708AD3B3">
        <w:rPr>
          <w:rFonts w:eastAsia="Arial" w:cs="Arial"/>
          <w:color w:val="000000" w:themeColor="text1"/>
          <w:szCs w:val="24"/>
        </w:rPr>
        <w:t xml:space="preserve"> with the NDIS Price Guide. </w:t>
      </w:r>
    </w:p>
    <w:p w14:paraId="25260E0F" w14:textId="15BDD88A" w:rsidR="14B02325" w:rsidRDefault="14B02325" w:rsidP="708AD3B3">
      <w:pPr>
        <w:spacing w:after="0" w:line="360" w:lineRule="auto"/>
        <w:rPr>
          <w:rFonts w:ascii="Century Gothic" w:eastAsia="Century Gothic" w:hAnsi="Century Gothic" w:cs="Century Gothic"/>
          <w:b/>
          <w:bCs/>
          <w:color w:val="000000" w:themeColor="text1"/>
          <w:sz w:val="26"/>
          <w:szCs w:val="26"/>
          <w:lang w:val="en-US"/>
        </w:rPr>
      </w:pPr>
      <w:r w:rsidRPr="708AD3B3">
        <w:rPr>
          <w:rFonts w:ascii="Century Gothic" w:eastAsia="Century Gothic" w:hAnsi="Century Gothic" w:cs="Century Gothic"/>
          <w:b/>
          <w:bCs/>
          <w:color w:val="000000" w:themeColor="text1"/>
          <w:sz w:val="26"/>
          <w:szCs w:val="26"/>
          <w:lang w:val="en-US"/>
        </w:rPr>
        <w:t>Principles</w:t>
      </w:r>
    </w:p>
    <w:p w14:paraId="6503DDBF" w14:textId="43B338D3" w:rsidR="14B02325" w:rsidRDefault="14B02325" w:rsidP="708AD3B3">
      <w:pPr>
        <w:spacing w:before="120" w:after="0"/>
        <w:rPr>
          <w:rFonts w:eastAsia="Arial" w:cs="Arial"/>
          <w:b/>
          <w:bCs/>
          <w:color w:val="000000" w:themeColor="text1"/>
          <w:szCs w:val="24"/>
          <w:lang w:val="en-US"/>
        </w:rPr>
      </w:pPr>
      <w:r w:rsidRPr="708AD3B3">
        <w:rPr>
          <w:rFonts w:eastAsia="Arial" w:cs="Arial"/>
          <w:color w:val="000000" w:themeColor="text1"/>
          <w:szCs w:val="24"/>
        </w:rPr>
        <w:t>Our Plan Management services operate to ensure maximum flexibility for the people we support, while adhering to the NDIA legislation and operational guidelines.</w:t>
      </w:r>
    </w:p>
    <w:p w14:paraId="25761E54" w14:textId="27BB0DE4" w:rsidR="708AD3B3" w:rsidRDefault="708AD3B3" w:rsidP="708AD3B3">
      <w:pPr>
        <w:rPr>
          <w:rFonts w:eastAsia="Arial" w:cs="Arial"/>
          <w:color w:val="000000" w:themeColor="text1"/>
          <w:szCs w:val="24"/>
          <w:lang w:val="en-US"/>
        </w:rPr>
      </w:pPr>
    </w:p>
    <w:p w14:paraId="6E6D7B75" w14:textId="4E452477" w:rsidR="14B02325" w:rsidRDefault="14B02325" w:rsidP="708AD3B3">
      <w:pPr>
        <w:rPr>
          <w:rFonts w:eastAsia="Arial" w:cs="Arial"/>
          <w:color w:val="000000" w:themeColor="text1"/>
          <w:szCs w:val="24"/>
          <w:lang w:val="en-US"/>
        </w:rPr>
      </w:pPr>
      <w:r w:rsidRPr="708AD3B3">
        <w:rPr>
          <w:rFonts w:eastAsia="Arial" w:cs="Arial"/>
          <w:i/>
          <w:iCs/>
          <w:color w:val="000000" w:themeColor="text1"/>
          <w:szCs w:val="24"/>
        </w:rPr>
        <w:t>futures in sight</w:t>
      </w:r>
      <w:r w:rsidRPr="708AD3B3">
        <w:rPr>
          <w:rFonts w:eastAsia="Arial" w:cs="Arial"/>
          <w:color w:val="000000" w:themeColor="text1"/>
          <w:szCs w:val="24"/>
        </w:rPr>
        <w:t xml:space="preserve"> will not claim any invoices on behalf of the NDIA participant without approval from the person we support or their nominee. </w:t>
      </w:r>
    </w:p>
    <w:p w14:paraId="17866180" w14:textId="3EEDFDBF" w:rsidR="14B02325" w:rsidRDefault="14B02325" w:rsidP="708AD3B3">
      <w:pPr>
        <w:rPr>
          <w:rFonts w:eastAsia="Arial" w:cs="Arial"/>
          <w:color w:val="000000" w:themeColor="text1"/>
          <w:szCs w:val="24"/>
          <w:lang w:val="en-US"/>
        </w:rPr>
      </w:pPr>
      <w:r w:rsidRPr="708AD3B3">
        <w:rPr>
          <w:rFonts w:eastAsia="Arial" w:cs="Arial"/>
          <w:color w:val="000000" w:themeColor="text1"/>
          <w:szCs w:val="24"/>
        </w:rPr>
        <w:lastRenderedPageBreak/>
        <w:t xml:space="preserve">We will not process invoices, which are to be claimed from the NDIS, that are above the benchmark </w:t>
      </w:r>
      <w:r w:rsidR="00245AE8">
        <w:rPr>
          <w:rFonts w:eastAsia="Arial" w:cs="Arial"/>
          <w:color w:val="000000" w:themeColor="text1"/>
          <w:szCs w:val="24"/>
        </w:rPr>
        <w:t xml:space="preserve">maximum price </w:t>
      </w:r>
      <w:r w:rsidRPr="708AD3B3">
        <w:rPr>
          <w:rFonts w:eastAsia="Arial" w:cs="Arial"/>
          <w:color w:val="000000" w:themeColor="text1"/>
          <w:szCs w:val="24"/>
        </w:rPr>
        <w:t xml:space="preserve">set by NDIA. </w:t>
      </w:r>
    </w:p>
    <w:p w14:paraId="6AFC67CD" w14:textId="180C10BD" w:rsidR="14B02325" w:rsidRDefault="14B02325" w:rsidP="708AD3B3">
      <w:pPr>
        <w:rPr>
          <w:rFonts w:eastAsia="Arial" w:cs="Arial"/>
          <w:color w:val="000000" w:themeColor="text1"/>
          <w:szCs w:val="24"/>
          <w:lang w:val="en-US"/>
        </w:rPr>
      </w:pPr>
      <w:r w:rsidRPr="708AD3B3">
        <w:rPr>
          <w:rFonts w:eastAsia="Arial" w:cs="Arial"/>
          <w:color w:val="000000" w:themeColor="text1"/>
          <w:szCs w:val="24"/>
        </w:rPr>
        <w:t xml:space="preserve">We assume that people who received plan management funding from the NDIA </w:t>
      </w:r>
      <w:proofErr w:type="gramStart"/>
      <w:r w:rsidRPr="708AD3B3">
        <w:rPr>
          <w:rFonts w:eastAsia="Arial" w:cs="Arial"/>
          <w:color w:val="000000" w:themeColor="text1"/>
          <w:szCs w:val="24"/>
        </w:rPr>
        <w:t>are able to</w:t>
      </w:r>
      <w:proofErr w:type="gramEnd"/>
      <w:r w:rsidRPr="708AD3B3">
        <w:rPr>
          <w:rFonts w:eastAsia="Arial" w:cs="Arial"/>
          <w:color w:val="000000" w:themeColor="text1"/>
          <w:szCs w:val="24"/>
        </w:rPr>
        <w:t xml:space="preserve"> make choices and decisions in line with NDIS Plan management guidelines.</w:t>
      </w:r>
    </w:p>
    <w:p w14:paraId="192ED5CC" w14:textId="32EFEBAA" w:rsidR="14B02325" w:rsidRDefault="14B02325" w:rsidP="708AD3B3">
      <w:pPr>
        <w:rPr>
          <w:rFonts w:eastAsia="Arial" w:cs="Arial"/>
          <w:color w:val="000000" w:themeColor="text1"/>
          <w:szCs w:val="24"/>
          <w:lang w:val="en-US"/>
        </w:rPr>
      </w:pPr>
      <w:r w:rsidRPr="708AD3B3">
        <w:rPr>
          <w:rFonts w:eastAsia="Arial" w:cs="Arial"/>
          <w:color w:val="000000" w:themeColor="text1"/>
          <w:szCs w:val="24"/>
        </w:rPr>
        <w:t xml:space="preserve">When providing and claiming for supports, as a registered provider, </w:t>
      </w:r>
      <w:r w:rsidRPr="708AD3B3">
        <w:rPr>
          <w:rFonts w:eastAsia="Arial" w:cs="Arial"/>
          <w:i/>
          <w:iCs/>
          <w:color w:val="000000" w:themeColor="text1"/>
          <w:szCs w:val="24"/>
        </w:rPr>
        <w:t>futures in sight</w:t>
      </w:r>
      <w:r w:rsidRPr="708AD3B3">
        <w:rPr>
          <w:rFonts w:eastAsia="Arial" w:cs="Arial"/>
          <w:color w:val="000000" w:themeColor="text1"/>
          <w:szCs w:val="24"/>
        </w:rPr>
        <w:t xml:space="preserve"> complies with the NDIS Price Guide and the following information provided by the NDIA (NDIA letter to </w:t>
      </w:r>
      <w:r w:rsidRPr="008A294F">
        <w:rPr>
          <w:rFonts w:eastAsia="Arial" w:cs="Arial"/>
          <w:i/>
          <w:iCs/>
          <w:color w:val="000000" w:themeColor="text1"/>
          <w:szCs w:val="24"/>
        </w:rPr>
        <w:t>futures in sight</w:t>
      </w:r>
      <w:r w:rsidRPr="708AD3B3">
        <w:rPr>
          <w:rFonts w:eastAsia="Arial" w:cs="Arial"/>
          <w:color w:val="000000" w:themeColor="text1"/>
          <w:szCs w:val="24"/>
        </w:rPr>
        <w:t>, 16/04/2020):</w:t>
      </w:r>
    </w:p>
    <w:p w14:paraId="08C21713" w14:textId="6DFAF0FA" w:rsidR="14B02325" w:rsidRDefault="14B02325" w:rsidP="708AD3B3">
      <w:pPr>
        <w:rPr>
          <w:rFonts w:eastAsia="Arial" w:cs="Arial"/>
          <w:color w:val="000000" w:themeColor="text1"/>
          <w:szCs w:val="24"/>
          <w:lang w:val="en-US"/>
        </w:rPr>
      </w:pPr>
      <w:r w:rsidRPr="708AD3B3">
        <w:rPr>
          <w:rFonts w:eastAsia="Arial" w:cs="Arial"/>
          <w:b/>
          <w:bCs/>
          <w:i/>
          <w:iCs/>
          <w:color w:val="000000" w:themeColor="text1"/>
          <w:szCs w:val="24"/>
        </w:rPr>
        <w:t xml:space="preserve">“Volumes Delivered </w:t>
      </w:r>
    </w:p>
    <w:p w14:paraId="7D2F4FB3" w14:textId="6EBBE059" w:rsidR="14B02325" w:rsidRDefault="14B02325" w:rsidP="708AD3B3">
      <w:pPr>
        <w:rPr>
          <w:rFonts w:eastAsia="Arial" w:cs="Arial"/>
          <w:color w:val="000000" w:themeColor="text1"/>
          <w:szCs w:val="24"/>
          <w:lang w:val="en-US"/>
        </w:rPr>
      </w:pPr>
      <w:r w:rsidRPr="708AD3B3">
        <w:rPr>
          <w:rFonts w:eastAsia="Arial" w:cs="Arial"/>
          <w:i/>
          <w:iCs/>
          <w:color w:val="000000" w:themeColor="text1"/>
          <w:szCs w:val="24"/>
        </w:rPr>
        <w:t xml:space="preserve">Each claim submitted should include the correct number of hours for services delivered to the Participant. The claim for payment must accurately reflect actual hours and should not be rounded up or include future estimated services. Additionally, claims for payment can only be made once the support has been delivered. </w:t>
      </w:r>
    </w:p>
    <w:p w14:paraId="08BD00D0" w14:textId="295CAB58" w:rsidR="14B02325" w:rsidRDefault="14B02325" w:rsidP="708AD3B3">
      <w:pPr>
        <w:rPr>
          <w:rFonts w:eastAsia="Arial" w:cs="Arial"/>
          <w:color w:val="000000" w:themeColor="text1"/>
          <w:szCs w:val="24"/>
          <w:lang w:val="en-US"/>
        </w:rPr>
      </w:pPr>
      <w:r w:rsidRPr="708AD3B3">
        <w:rPr>
          <w:rFonts w:eastAsia="Arial" w:cs="Arial"/>
          <w:b/>
          <w:bCs/>
          <w:i/>
          <w:iCs/>
          <w:color w:val="000000" w:themeColor="text1"/>
          <w:szCs w:val="24"/>
        </w:rPr>
        <w:t xml:space="preserve">Supports Delivered </w:t>
      </w:r>
    </w:p>
    <w:p w14:paraId="508BC98C" w14:textId="77406BD5" w:rsidR="14B02325" w:rsidRDefault="14B02325" w:rsidP="708AD3B3">
      <w:pPr>
        <w:rPr>
          <w:rFonts w:eastAsia="Arial" w:cs="Arial"/>
          <w:color w:val="000000" w:themeColor="text1"/>
          <w:szCs w:val="24"/>
          <w:lang w:val="en-US"/>
        </w:rPr>
      </w:pPr>
      <w:r w:rsidRPr="708AD3B3">
        <w:rPr>
          <w:rFonts w:eastAsia="Arial" w:cs="Arial"/>
          <w:i/>
          <w:iCs/>
          <w:color w:val="000000" w:themeColor="text1"/>
          <w:szCs w:val="24"/>
        </w:rPr>
        <w:t xml:space="preserve">Each support category has specific supports and services that are recognised in the portal. These are usually referred to as ‘Support Items’ and are, in most cases, not prescribed in participant plans. A comprehensive list of all NDIS supports (the Support Catalogue) is available on the NDIS website. The Support Catalogue includes item descriptors to assist providers to claim payments using a ‘best-fit’ approach, and to assist participants in engaging and negotiating with service providers. Providers should claim payments against the support item that most closely aligns to the service they have delivered. Providers can only claim for a support category they have been registered and approved for. </w:t>
      </w:r>
    </w:p>
    <w:p w14:paraId="2FBECC3C" w14:textId="09A943E6" w:rsidR="14B02325" w:rsidRDefault="14B02325" w:rsidP="708AD3B3">
      <w:pPr>
        <w:rPr>
          <w:rFonts w:eastAsia="Arial" w:cs="Arial"/>
          <w:color w:val="000000" w:themeColor="text1"/>
          <w:szCs w:val="24"/>
          <w:lang w:val="en-US"/>
        </w:rPr>
      </w:pPr>
      <w:r w:rsidRPr="708AD3B3">
        <w:rPr>
          <w:rFonts w:eastAsia="Arial" w:cs="Arial"/>
          <w:b/>
          <w:bCs/>
          <w:i/>
          <w:iCs/>
          <w:color w:val="000000" w:themeColor="text1"/>
          <w:szCs w:val="24"/>
        </w:rPr>
        <w:t xml:space="preserve">Claim Rates </w:t>
      </w:r>
    </w:p>
    <w:p w14:paraId="019CA6CB" w14:textId="7D75C748" w:rsidR="14B02325" w:rsidRDefault="14B02325" w:rsidP="708AD3B3">
      <w:pPr>
        <w:rPr>
          <w:rFonts w:eastAsia="Arial" w:cs="Arial"/>
          <w:color w:val="000000" w:themeColor="text1"/>
          <w:szCs w:val="24"/>
          <w:lang w:val="en-US"/>
        </w:rPr>
      </w:pPr>
      <w:r w:rsidRPr="708AD3B3">
        <w:rPr>
          <w:rFonts w:eastAsia="Arial" w:cs="Arial"/>
          <w:i/>
          <w:iCs/>
          <w:color w:val="000000" w:themeColor="text1"/>
          <w:szCs w:val="24"/>
        </w:rPr>
        <w:t xml:space="preserve">Where price limits are applicable, prices charged to Participants must not exceed the prescribed support price limit referenced in the Support Catalogue. This includes selecting the correct price limit for the day of the week the service was </w:t>
      </w:r>
      <w:proofErr w:type="gramStart"/>
      <w:r w:rsidRPr="708AD3B3">
        <w:rPr>
          <w:rFonts w:eastAsia="Arial" w:cs="Arial"/>
          <w:i/>
          <w:iCs/>
          <w:color w:val="000000" w:themeColor="text1"/>
          <w:szCs w:val="24"/>
        </w:rPr>
        <w:t>actually</w:t>
      </w:r>
      <w:r w:rsidR="00245AE8">
        <w:rPr>
          <w:rFonts w:eastAsia="Arial" w:cs="Arial"/>
          <w:i/>
          <w:iCs/>
          <w:color w:val="000000" w:themeColor="text1"/>
          <w:szCs w:val="24"/>
        </w:rPr>
        <w:t xml:space="preserve"> </w:t>
      </w:r>
      <w:r w:rsidRPr="708AD3B3">
        <w:rPr>
          <w:rFonts w:eastAsia="Arial" w:cs="Arial"/>
          <w:i/>
          <w:iCs/>
          <w:color w:val="000000" w:themeColor="text1"/>
          <w:szCs w:val="24"/>
        </w:rPr>
        <w:t>delivered</w:t>
      </w:r>
      <w:proofErr w:type="gramEnd"/>
      <w:r w:rsidRPr="708AD3B3">
        <w:rPr>
          <w:rFonts w:eastAsia="Arial" w:cs="Arial"/>
          <w:i/>
          <w:iCs/>
          <w:color w:val="000000" w:themeColor="text1"/>
          <w:szCs w:val="24"/>
        </w:rPr>
        <w:t>.</w:t>
      </w:r>
    </w:p>
    <w:p w14:paraId="782B732C" w14:textId="01298734" w:rsidR="14B02325" w:rsidRDefault="14B02325" w:rsidP="708AD3B3">
      <w:pPr>
        <w:rPr>
          <w:rFonts w:eastAsia="Arial" w:cs="Arial"/>
          <w:i/>
          <w:iCs/>
          <w:color w:val="000000" w:themeColor="text1"/>
          <w:szCs w:val="24"/>
        </w:rPr>
      </w:pPr>
      <w:r w:rsidRPr="708AD3B3">
        <w:rPr>
          <w:rFonts w:eastAsia="Arial" w:cs="Arial"/>
          <w:i/>
          <w:iCs/>
          <w:color w:val="000000" w:themeColor="text1"/>
          <w:szCs w:val="24"/>
        </w:rPr>
        <w:t>No additional charges are to be added to the cost of the support. Examples include credit card surcharges, or additional fees including any ‘gap’ fees, late payment fees or cancellation fees unless otherwise specifically stated in the NDIS Price Guide. It is important to remember that the NDIS Price Guide is a maximum support price.</w:t>
      </w:r>
      <w:r w:rsidR="79C90A7A" w:rsidRPr="708AD3B3">
        <w:rPr>
          <w:rFonts w:eastAsia="Arial" w:cs="Arial"/>
          <w:i/>
          <w:iCs/>
          <w:color w:val="000000" w:themeColor="text1"/>
          <w:szCs w:val="24"/>
        </w:rPr>
        <w:t>”</w:t>
      </w:r>
    </w:p>
    <w:p w14:paraId="1B89F235" w14:textId="0E4B1997" w:rsidR="14B02325" w:rsidRDefault="14B02325" w:rsidP="708AD3B3">
      <w:pPr>
        <w:rPr>
          <w:rFonts w:eastAsia="Arial" w:cs="Arial"/>
          <w:color w:val="000000" w:themeColor="text1"/>
          <w:szCs w:val="24"/>
          <w:lang w:val="en-US"/>
        </w:rPr>
      </w:pPr>
      <w:r w:rsidRPr="708AD3B3">
        <w:rPr>
          <w:rFonts w:eastAsia="Arial" w:cs="Arial"/>
          <w:color w:val="000000" w:themeColor="text1"/>
          <w:szCs w:val="24"/>
        </w:rPr>
        <w:lastRenderedPageBreak/>
        <w:t xml:space="preserve">As a registered provider, </w:t>
      </w:r>
      <w:r w:rsidRPr="708AD3B3">
        <w:rPr>
          <w:rFonts w:eastAsia="Arial" w:cs="Arial"/>
          <w:i/>
          <w:iCs/>
          <w:color w:val="000000" w:themeColor="text1"/>
          <w:szCs w:val="24"/>
        </w:rPr>
        <w:t>futures in sight</w:t>
      </w:r>
      <w:r w:rsidRPr="708AD3B3">
        <w:rPr>
          <w:rFonts w:eastAsia="Arial" w:cs="Arial"/>
          <w:color w:val="000000" w:themeColor="text1"/>
          <w:szCs w:val="24"/>
        </w:rPr>
        <w:t xml:space="preserve"> maintains complete and accurate records of the supports delivered to participants. These include invoices, service agreements </w:t>
      </w:r>
      <w:r w:rsidR="00F64BDF">
        <w:rPr>
          <w:rFonts w:eastAsia="Arial" w:cs="Arial"/>
          <w:color w:val="000000" w:themeColor="text1"/>
          <w:szCs w:val="24"/>
        </w:rPr>
        <w:t xml:space="preserve">where available, </w:t>
      </w:r>
      <w:r w:rsidRPr="708AD3B3">
        <w:rPr>
          <w:rFonts w:eastAsia="Arial" w:cs="Arial"/>
          <w:color w:val="000000" w:themeColor="text1"/>
          <w:szCs w:val="24"/>
        </w:rPr>
        <w:t xml:space="preserve">and other documents that can validate the claim for supports provided. </w:t>
      </w:r>
    </w:p>
    <w:p w14:paraId="09C2826A" w14:textId="761EF5E6" w:rsidR="708AD3B3" w:rsidRDefault="708AD3B3" w:rsidP="708AD3B3">
      <w:pPr>
        <w:rPr>
          <w:rFonts w:eastAsia="Arial" w:cs="Arial"/>
          <w:color w:val="000000" w:themeColor="text1"/>
          <w:szCs w:val="24"/>
        </w:rPr>
      </w:pPr>
    </w:p>
    <w:p w14:paraId="01C6CA48" w14:textId="68D7DC60" w:rsidR="14B02325" w:rsidRDefault="14B02325" w:rsidP="708AD3B3">
      <w:pPr>
        <w:spacing w:after="0" w:line="360" w:lineRule="auto"/>
        <w:rPr>
          <w:rFonts w:ascii="Century Gothic" w:eastAsia="Century Gothic" w:hAnsi="Century Gothic" w:cs="Century Gothic"/>
          <w:b/>
          <w:bCs/>
          <w:color w:val="000000" w:themeColor="text1"/>
          <w:sz w:val="26"/>
          <w:szCs w:val="26"/>
          <w:lang w:val="en-US"/>
        </w:rPr>
      </w:pPr>
      <w:r w:rsidRPr="708AD3B3">
        <w:rPr>
          <w:rFonts w:ascii="Century Gothic" w:eastAsia="Century Gothic" w:hAnsi="Century Gothic" w:cs="Century Gothic"/>
          <w:b/>
          <w:bCs/>
          <w:color w:val="000000" w:themeColor="text1"/>
          <w:sz w:val="26"/>
          <w:szCs w:val="26"/>
          <w:lang w:val="en-US"/>
        </w:rPr>
        <w:t>Procedure</w:t>
      </w:r>
    </w:p>
    <w:p w14:paraId="1CA7766F" w14:textId="67F4499E" w:rsidR="14B02325" w:rsidRDefault="14B02325" w:rsidP="708AD3B3">
      <w:pPr>
        <w:spacing w:beforeAutospacing="1" w:afterAutospacing="1"/>
        <w:rPr>
          <w:rFonts w:eastAsia="Arial" w:cs="Arial"/>
          <w:color w:val="000000" w:themeColor="text1"/>
          <w:szCs w:val="24"/>
          <w:lang w:val="en-US"/>
        </w:rPr>
      </w:pPr>
      <w:r w:rsidRPr="708AD3B3">
        <w:rPr>
          <w:rFonts w:eastAsia="Arial" w:cs="Arial"/>
          <w:b/>
          <w:bCs/>
          <w:color w:val="000000" w:themeColor="text1"/>
          <w:szCs w:val="24"/>
        </w:rPr>
        <w:t xml:space="preserve">1. To process invoices on behalf of </w:t>
      </w:r>
      <w:r w:rsidR="00F64BDF">
        <w:rPr>
          <w:rFonts w:eastAsia="Arial" w:cs="Arial"/>
          <w:b/>
          <w:bCs/>
          <w:color w:val="000000" w:themeColor="text1"/>
          <w:szCs w:val="24"/>
        </w:rPr>
        <w:t>a participant</w:t>
      </w:r>
      <w:r w:rsidRPr="708AD3B3">
        <w:rPr>
          <w:rFonts w:eastAsia="Arial" w:cs="Arial"/>
          <w:b/>
          <w:bCs/>
          <w:color w:val="000000" w:themeColor="text1"/>
          <w:szCs w:val="24"/>
        </w:rPr>
        <w:t xml:space="preserve"> we:</w:t>
      </w:r>
    </w:p>
    <w:p w14:paraId="6A2C692E" w14:textId="21B9195A" w:rsidR="14B02325" w:rsidRDefault="14B02325" w:rsidP="708AD3B3">
      <w:pPr>
        <w:pStyle w:val="ListParagraph"/>
        <w:numPr>
          <w:ilvl w:val="0"/>
          <w:numId w:val="3"/>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Seek approval from the person or their nominee in terms of accuracy of services delivered (</w:t>
      </w:r>
      <w:r w:rsidR="00F64BDF">
        <w:rPr>
          <w:rFonts w:eastAsia="Arial" w:cs="Arial"/>
          <w:color w:val="000000" w:themeColor="text1"/>
          <w:szCs w:val="24"/>
        </w:rPr>
        <w:t>e</w:t>
      </w:r>
      <w:r w:rsidRPr="708AD3B3">
        <w:rPr>
          <w:rFonts w:eastAsia="Arial" w:cs="Arial"/>
          <w:color w:val="000000" w:themeColor="text1"/>
          <w:szCs w:val="24"/>
        </w:rPr>
        <w:t>specially in relation to dates and times)</w:t>
      </w:r>
    </w:p>
    <w:p w14:paraId="6142A32D" w14:textId="550E5B33" w:rsidR="14B02325" w:rsidRDefault="14B02325" w:rsidP="708AD3B3">
      <w:pPr>
        <w:pStyle w:val="ListParagraph"/>
        <w:numPr>
          <w:ilvl w:val="0"/>
          <w:numId w:val="3"/>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Check invoices are in line with the budget of the person we support and highlight any concerns with the person/their nominee immediately</w:t>
      </w:r>
    </w:p>
    <w:p w14:paraId="6CD8FDFD" w14:textId="380DD2CC" w:rsidR="14B02325" w:rsidRDefault="14B02325" w:rsidP="708AD3B3">
      <w:pPr>
        <w:pStyle w:val="ListParagraph"/>
        <w:numPr>
          <w:ilvl w:val="0"/>
          <w:numId w:val="3"/>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 xml:space="preserve">Check invoices for accuracy in terms of NDIA price guide, as all as ATO requirements </w:t>
      </w:r>
      <w:r w:rsidR="01E66F72" w:rsidRPr="708AD3B3">
        <w:rPr>
          <w:rFonts w:eastAsia="Arial" w:cs="Arial"/>
          <w:color w:val="000000" w:themeColor="text1"/>
          <w:szCs w:val="24"/>
        </w:rPr>
        <w:t>(</w:t>
      </w:r>
      <w:proofErr w:type="gramStart"/>
      <w:r w:rsidR="01E66F72" w:rsidRPr="708AD3B3">
        <w:rPr>
          <w:rFonts w:eastAsia="Arial" w:cs="Arial"/>
          <w:color w:val="000000" w:themeColor="text1"/>
          <w:szCs w:val="24"/>
        </w:rPr>
        <w:t>including</w:t>
      </w:r>
      <w:r w:rsidRPr="708AD3B3">
        <w:rPr>
          <w:rFonts w:eastAsia="Arial" w:cs="Arial"/>
          <w:color w:val="000000" w:themeColor="text1"/>
          <w:szCs w:val="24"/>
        </w:rPr>
        <w:t>:</w:t>
      </w:r>
      <w:proofErr w:type="gramEnd"/>
      <w:r w:rsidRPr="708AD3B3">
        <w:rPr>
          <w:rFonts w:eastAsia="Arial" w:cs="Arial"/>
          <w:color w:val="000000" w:themeColor="text1"/>
          <w:szCs w:val="24"/>
        </w:rPr>
        <w:t xml:space="preserve"> name of supplier, ABN, date of invoice, name of participants, date and cost of service) </w:t>
      </w:r>
    </w:p>
    <w:p w14:paraId="32B05748" w14:textId="34818384" w:rsidR="14B02325" w:rsidRDefault="14B02325" w:rsidP="708AD3B3">
      <w:pPr>
        <w:pStyle w:val="ListParagraph"/>
        <w:numPr>
          <w:ilvl w:val="0"/>
          <w:numId w:val="3"/>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Process invoices and claim</w:t>
      </w:r>
      <w:r w:rsidR="00F64BDF">
        <w:rPr>
          <w:rFonts w:eastAsia="Arial" w:cs="Arial"/>
          <w:color w:val="000000" w:themeColor="text1"/>
          <w:szCs w:val="24"/>
        </w:rPr>
        <w:t>s</w:t>
      </w:r>
      <w:r w:rsidRPr="708AD3B3">
        <w:rPr>
          <w:rFonts w:eastAsia="Arial" w:cs="Arial"/>
          <w:color w:val="000000" w:themeColor="text1"/>
          <w:szCs w:val="24"/>
        </w:rPr>
        <w:t xml:space="preserve"> from NDIA portal</w:t>
      </w:r>
    </w:p>
    <w:p w14:paraId="3D6290C0" w14:textId="00A22DA1" w:rsidR="14B02325" w:rsidRDefault="14B02325" w:rsidP="708AD3B3">
      <w:pPr>
        <w:pStyle w:val="ListParagraph"/>
        <w:numPr>
          <w:ilvl w:val="0"/>
          <w:numId w:val="3"/>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Once payment has been received</w:t>
      </w:r>
      <w:r w:rsidR="00F64BDF">
        <w:rPr>
          <w:rFonts w:eastAsia="Arial" w:cs="Arial"/>
          <w:color w:val="000000" w:themeColor="text1"/>
          <w:szCs w:val="24"/>
        </w:rPr>
        <w:t>,</w:t>
      </w:r>
      <w:r w:rsidRPr="708AD3B3">
        <w:rPr>
          <w:rFonts w:eastAsia="Arial" w:cs="Arial"/>
          <w:color w:val="000000" w:themeColor="text1"/>
          <w:szCs w:val="24"/>
        </w:rPr>
        <w:t xml:space="preserve"> pay the provider</w:t>
      </w:r>
    </w:p>
    <w:p w14:paraId="2E17FBC0" w14:textId="34679477" w:rsidR="14B02325" w:rsidRDefault="14B02325" w:rsidP="708AD3B3">
      <w:pPr>
        <w:spacing w:beforeAutospacing="1" w:afterAutospacing="1"/>
        <w:rPr>
          <w:rFonts w:eastAsia="Arial" w:cs="Arial"/>
          <w:color w:val="000000" w:themeColor="text1"/>
          <w:szCs w:val="24"/>
          <w:lang w:val="en-US"/>
        </w:rPr>
      </w:pPr>
      <w:r w:rsidRPr="708AD3B3">
        <w:rPr>
          <w:rFonts w:eastAsia="Arial" w:cs="Arial"/>
          <w:b/>
          <w:bCs/>
          <w:i/>
          <w:iCs/>
          <w:color w:val="000000" w:themeColor="text1"/>
          <w:szCs w:val="24"/>
        </w:rPr>
        <w:t>futures in sight</w:t>
      </w:r>
      <w:r w:rsidRPr="708AD3B3">
        <w:rPr>
          <w:rFonts w:eastAsia="Arial" w:cs="Arial"/>
          <w:b/>
          <w:bCs/>
          <w:color w:val="000000" w:themeColor="text1"/>
          <w:szCs w:val="24"/>
        </w:rPr>
        <w:t xml:space="preserve"> </w:t>
      </w:r>
      <w:proofErr w:type="gramStart"/>
      <w:r w:rsidRPr="708AD3B3">
        <w:rPr>
          <w:rFonts w:eastAsia="Arial" w:cs="Arial"/>
          <w:b/>
          <w:bCs/>
          <w:color w:val="000000" w:themeColor="text1"/>
          <w:szCs w:val="24"/>
        </w:rPr>
        <w:t>is</w:t>
      </w:r>
      <w:proofErr w:type="gramEnd"/>
      <w:r w:rsidRPr="708AD3B3">
        <w:rPr>
          <w:rFonts w:eastAsia="Arial" w:cs="Arial"/>
          <w:b/>
          <w:bCs/>
          <w:color w:val="000000" w:themeColor="text1"/>
          <w:szCs w:val="24"/>
        </w:rPr>
        <w:t xml:space="preserve"> unable to process nor pay invoices: </w:t>
      </w:r>
    </w:p>
    <w:p w14:paraId="0E4FA60C" w14:textId="34C5B5E6" w:rsidR="14B02325" w:rsidRDefault="14B02325" w:rsidP="708AD3B3">
      <w:pPr>
        <w:pStyle w:val="ListParagraph"/>
        <w:numPr>
          <w:ilvl w:val="0"/>
          <w:numId w:val="2"/>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that are above the NDIS benchmark/capped price (to that end invoices need to be round down rather th</w:t>
      </w:r>
      <w:r w:rsidR="27CBABB0" w:rsidRPr="708AD3B3">
        <w:rPr>
          <w:rFonts w:eastAsia="Arial" w:cs="Arial"/>
          <w:color w:val="000000" w:themeColor="text1"/>
          <w:szCs w:val="24"/>
        </w:rPr>
        <w:t>a</w:t>
      </w:r>
      <w:r w:rsidRPr="708AD3B3">
        <w:rPr>
          <w:rFonts w:eastAsia="Arial" w:cs="Arial"/>
          <w:color w:val="000000" w:themeColor="text1"/>
          <w:szCs w:val="24"/>
        </w:rPr>
        <w:t>n round up)</w:t>
      </w:r>
    </w:p>
    <w:p w14:paraId="055DEE0C" w14:textId="7573F7D9" w:rsidR="14B02325" w:rsidRDefault="14B02325" w:rsidP="708AD3B3">
      <w:pPr>
        <w:pStyle w:val="ListParagraph"/>
        <w:numPr>
          <w:ilvl w:val="0"/>
          <w:numId w:val="2"/>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 xml:space="preserve">where only a part payment has been received (only invoices that have been full paid for by the NDIA will be paid by </w:t>
      </w:r>
      <w:r w:rsidRPr="708AD3B3">
        <w:rPr>
          <w:rFonts w:eastAsia="Arial" w:cs="Arial"/>
          <w:i/>
          <w:iCs/>
          <w:color w:val="000000" w:themeColor="text1"/>
          <w:szCs w:val="24"/>
        </w:rPr>
        <w:t>futures in sight</w:t>
      </w:r>
      <w:r w:rsidRPr="708AD3B3">
        <w:rPr>
          <w:rFonts w:eastAsia="Arial" w:cs="Arial"/>
          <w:color w:val="000000" w:themeColor="text1"/>
          <w:szCs w:val="24"/>
        </w:rPr>
        <w:t>). We will work with the person we support/their nominee and the provider concerned to resolve the outstanding issue</w:t>
      </w:r>
    </w:p>
    <w:p w14:paraId="07DD01A1" w14:textId="184B23F6" w:rsidR="14B02325" w:rsidRDefault="14B02325" w:rsidP="708AD3B3">
      <w:pPr>
        <w:pStyle w:val="ListParagraph"/>
        <w:numPr>
          <w:ilvl w:val="0"/>
          <w:numId w:val="2"/>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that have been rejected for payment by the NDIA. We will work with the person we support/ their nominee, the NDIA and the provider to address the concerning issues</w:t>
      </w:r>
    </w:p>
    <w:p w14:paraId="3761B51C" w14:textId="6CF26249" w:rsidR="14B02325" w:rsidRDefault="14B02325" w:rsidP="708AD3B3">
      <w:pPr>
        <w:spacing w:beforeAutospacing="1" w:afterAutospacing="1"/>
        <w:rPr>
          <w:rFonts w:eastAsia="Arial" w:cs="Arial"/>
          <w:color w:val="000000" w:themeColor="text1"/>
          <w:szCs w:val="24"/>
          <w:lang w:val="en-US"/>
        </w:rPr>
      </w:pPr>
      <w:r w:rsidRPr="708AD3B3">
        <w:rPr>
          <w:rFonts w:eastAsia="Arial" w:cs="Arial"/>
          <w:b/>
          <w:bCs/>
          <w:color w:val="000000" w:themeColor="text1"/>
          <w:szCs w:val="24"/>
        </w:rPr>
        <w:t xml:space="preserve">Rounding down to comply with NDIA benchmark Prices </w:t>
      </w:r>
    </w:p>
    <w:p w14:paraId="7632033E" w14:textId="6875D6FC" w:rsidR="14B02325" w:rsidRDefault="14B02325" w:rsidP="708AD3B3">
      <w:pPr>
        <w:pStyle w:val="ListParagraph"/>
        <w:numPr>
          <w:ilvl w:val="0"/>
          <w:numId w:val="1"/>
        </w:numPr>
        <w:spacing w:beforeAutospacing="1" w:afterAutospacing="1"/>
        <w:rPr>
          <w:rFonts w:asciiTheme="minorHAnsi" w:eastAsiaTheme="minorEastAsia" w:hAnsiTheme="minorHAnsi"/>
          <w:i/>
          <w:iCs/>
          <w:color w:val="000000" w:themeColor="text1"/>
          <w:szCs w:val="24"/>
          <w:lang w:val="en-US"/>
        </w:rPr>
      </w:pPr>
      <w:r w:rsidRPr="708AD3B3">
        <w:rPr>
          <w:rFonts w:eastAsia="Arial" w:cs="Arial"/>
          <w:i/>
          <w:iCs/>
          <w:color w:val="000000" w:themeColor="text1"/>
          <w:szCs w:val="24"/>
        </w:rPr>
        <w:t>futures in sight</w:t>
      </w:r>
      <w:r w:rsidRPr="708AD3B3">
        <w:rPr>
          <w:rFonts w:eastAsia="Arial" w:cs="Arial"/>
          <w:color w:val="000000" w:themeColor="text1"/>
          <w:szCs w:val="24"/>
        </w:rPr>
        <w:t xml:space="preserve"> does not pay invoices above the NDIS benchmark/capped price.</w:t>
      </w:r>
    </w:p>
    <w:p w14:paraId="5E255F4E" w14:textId="385BC324" w:rsidR="14B02325" w:rsidRDefault="14B02325" w:rsidP="708AD3B3">
      <w:pPr>
        <w:pStyle w:val="ListParagraph"/>
        <w:numPr>
          <w:ilvl w:val="0"/>
          <w:numId w:val="1"/>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t>Invoices received above the capped price will be paid at the capped price rate</w:t>
      </w:r>
    </w:p>
    <w:p w14:paraId="4928F00A" w14:textId="22CD94A3" w:rsidR="14B02325" w:rsidRDefault="00F64BDF" w:rsidP="708AD3B3">
      <w:pPr>
        <w:pStyle w:val="ListParagraph"/>
        <w:numPr>
          <w:ilvl w:val="0"/>
          <w:numId w:val="1"/>
        </w:numPr>
        <w:spacing w:beforeAutospacing="1" w:afterAutospacing="1"/>
        <w:rPr>
          <w:rFonts w:asciiTheme="minorHAnsi" w:eastAsiaTheme="minorEastAsia" w:hAnsiTheme="minorHAnsi"/>
          <w:color w:val="000000" w:themeColor="text1"/>
          <w:szCs w:val="24"/>
          <w:lang w:val="en-US"/>
        </w:rPr>
      </w:pPr>
      <w:r w:rsidRPr="008A294F">
        <w:rPr>
          <w:rFonts w:eastAsia="Arial" w:cs="Arial"/>
          <w:i/>
          <w:iCs/>
          <w:color w:val="000000" w:themeColor="text1"/>
          <w:szCs w:val="24"/>
        </w:rPr>
        <w:t xml:space="preserve">futures </w:t>
      </w:r>
      <w:r w:rsidR="14B02325" w:rsidRPr="008A294F">
        <w:rPr>
          <w:rFonts w:eastAsia="Arial" w:cs="Arial"/>
          <w:i/>
          <w:iCs/>
          <w:color w:val="000000" w:themeColor="text1"/>
          <w:szCs w:val="24"/>
        </w:rPr>
        <w:t>in sight</w:t>
      </w:r>
      <w:r w:rsidR="14B02325" w:rsidRPr="708AD3B3">
        <w:rPr>
          <w:rFonts w:eastAsia="Arial" w:cs="Arial"/>
          <w:color w:val="000000" w:themeColor="text1"/>
          <w:szCs w:val="24"/>
        </w:rPr>
        <w:t xml:space="preserve"> accounting systems will be adjusted to this practice</w:t>
      </w:r>
    </w:p>
    <w:p w14:paraId="66A30C2E" w14:textId="787A83EF" w:rsidR="14B02325" w:rsidRPr="008A294F" w:rsidRDefault="14B02325" w:rsidP="708AD3B3">
      <w:pPr>
        <w:pStyle w:val="ListParagraph"/>
        <w:numPr>
          <w:ilvl w:val="0"/>
          <w:numId w:val="1"/>
        </w:numPr>
        <w:spacing w:beforeAutospacing="1" w:afterAutospacing="1"/>
        <w:rPr>
          <w:rFonts w:asciiTheme="minorHAnsi" w:eastAsiaTheme="minorEastAsia" w:hAnsiTheme="minorHAnsi"/>
          <w:color w:val="000000" w:themeColor="text1"/>
          <w:szCs w:val="24"/>
          <w:lang w:val="en-US"/>
        </w:rPr>
      </w:pPr>
      <w:r w:rsidRPr="708AD3B3">
        <w:rPr>
          <w:rFonts w:eastAsia="Arial" w:cs="Arial"/>
          <w:color w:val="000000" w:themeColor="text1"/>
          <w:szCs w:val="24"/>
        </w:rPr>
        <w:lastRenderedPageBreak/>
        <w:t>Subsequent invoices sent by providers for the remaining amounts, which are the result of rounding up and exceeding the benchmark price, will be sent back to the provider with the suggestion to contact the NDIA directly if seeking above benchmark payment.</w:t>
      </w:r>
    </w:p>
    <w:p w14:paraId="0F246854" w14:textId="2431033A" w:rsidR="00F64BDF" w:rsidRPr="008A294F" w:rsidRDefault="00F64BDF" w:rsidP="008A294F">
      <w:pPr>
        <w:spacing w:beforeAutospacing="1" w:afterAutospacing="1"/>
        <w:rPr>
          <w:rFonts w:asciiTheme="minorHAnsi" w:eastAsiaTheme="minorEastAsia" w:hAnsiTheme="minorHAnsi"/>
          <w:color w:val="000000" w:themeColor="text1"/>
          <w:szCs w:val="24"/>
          <w:lang w:val="en-US"/>
        </w:rPr>
      </w:pPr>
      <w:r>
        <w:rPr>
          <w:rFonts w:asciiTheme="minorHAnsi" w:eastAsiaTheme="minorEastAsia" w:hAnsiTheme="minorHAnsi"/>
          <w:color w:val="000000" w:themeColor="text1"/>
          <w:szCs w:val="24"/>
          <w:lang w:val="en-US"/>
        </w:rPr>
        <w:t xml:space="preserve">More information on </w:t>
      </w:r>
      <w:r w:rsidRPr="008A294F">
        <w:rPr>
          <w:rFonts w:asciiTheme="minorHAnsi" w:eastAsiaTheme="minorEastAsia" w:hAnsiTheme="minorHAnsi"/>
          <w:i/>
          <w:iCs/>
          <w:color w:val="000000" w:themeColor="text1"/>
          <w:szCs w:val="24"/>
          <w:lang w:val="en-US"/>
        </w:rPr>
        <w:t>futures in sight</w:t>
      </w:r>
      <w:r>
        <w:rPr>
          <w:rFonts w:asciiTheme="minorHAnsi" w:eastAsiaTheme="minorEastAsia" w:hAnsiTheme="minorHAnsi"/>
          <w:color w:val="000000" w:themeColor="text1"/>
          <w:szCs w:val="24"/>
          <w:lang w:val="en-US"/>
        </w:rPr>
        <w:t xml:space="preserve"> plan management practices can be found in the Plan Management Handbook.</w:t>
      </w:r>
    </w:p>
    <w:p w14:paraId="7CDF0FF2" w14:textId="77777777" w:rsidR="00F64BDF" w:rsidRDefault="00F64BDF" w:rsidP="708AD3B3">
      <w:pPr>
        <w:rPr>
          <w:rFonts w:eastAsia="Arial" w:cs="Arial"/>
          <w:b/>
          <w:bCs/>
          <w:color w:val="000000" w:themeColor="text1"/>
          <w:szCs w:val="24"/>
          <w:lang w:val="en-US"/>
        </w:rPr>
      </w:pPr>
    </w:p>
    <w:p w14:paraId="5CC547ED" w14:textId="025B1FC9" w:rsidR="14B02325" w:rsidRDefault="14B02325" w:rsidP="708AD3B3">
      <w:pPr>
        <w:rPr>
          <w:rFonts w:eastAsia="Arial" w:cs="Arial"/>
          <w:color w:val="000000" w:themeColor="text1"/>
          <w:szCs w:val="24"/>
          <w:lang w:val="en-US"/>
        </w:rPr>
      </w:pPr>
      <w:r w:rsidRPr="708AD3B3">
        <w:rPr>
          <w:rFonts w:eastAsia="Arial" w:cs="Arial"/>
          <w:b/>
          <w:bCs/>
          <w:color w:val="000000" w:themeColor="text1"/>
          <w:szCs w:val="24"/>
          <w:lang w:val="en-US"/>
        </w:rPr>
        <w:t>Review</w:t>
      </w:r>
    </w:p>
    <w:p w14:paraId="57059CE6" w14:textId="49F98CD5" w:rsidR="14B02325" w:rsidRDefault="14B02325" w:rsidP="708AD3B3">
      <w:pPr>
        <w:rPr>
          <w:rFonts w:eastAsia="Arial" w:cs="Arial"/>
          <w:color w:val="000000" w:themeColor="text1"/>
          <w:szCs w:val="24"/>
          <w:lang w:val="en-US"/>
        </w:rPr>
      </w:pPr>
      <w:r w:rsidRPr="708AD3B3">
        <w:rPr>
          <w:rFonts w:eastAsia="Arial" w:cs="Arial"/>
          <w:color w:val="000000" w:themeColor="text1"/>
          <w:szCs w:val="24"/>
          <w:lang w:val="en-US"/>
        </w:rPr>
        <w:t xml:space="preserve">This policy will be reviewed on a two-yearly basis.  </w:t>
      </w:r>
    </w:p>
    <w:p w14:paraId="42155AC8" w14:textId="26D2871D" w:rsidR="14B02325" w:rsidRDefault="14B02325" w:rsidP="708AD3B3">
      <w:pPr>
        <w:rPr>
          <w:rFonts w:eastAsia="Arial" w:cs="Arial"/>
          <w:color w:val="000000" w:themeColor="text1"/>
          <w:szCs w:val="24"/>
          <w:lang w:val="en-US"/>
        </w:rPr>
      </w:pPr>
      <w:r w:rsidRPr="708AD3B3">
        <w:rPr>
          <w:rFonts w:eastAsia="Arial" w:cs="Arial"/>
          <w:color w:val="000000" w:themeColor="text1"/>
          <w:szCs w:val="24"/>
          <w:lang w:val="en-US"/>
        </w:rPr>
        <w:t>However, if at any time the legislative, policy or funding environment is so altered that the policy is no longer appropriate in its current form, the policy shall be reviewed immediately and amended accordingly.</w:t>
      </w:r>
    </w:p>
    <w:p w14:paraId="1E88AA33" w14:textId="2D2A11EB" w:rsidR="708AD3B3" w:rsidRDefault="708AD3B3" w:rsidP="708AD3B3">
      <w:pPr>
        <w:rPr>
          <w:lang w:val="en-US"/>
        </w:rPr>
      </w:pPr>
    </w:p>
    <w:tbl>
      <w:tblPr>
        <w:tblStyle w:val="TableGrid"/>
        <w:tblW w:w="9322" w:type="dxa"/>
        <w:tblLook w:val="04A0" w:firstRow="1" w:lastRow="0" w:firstColumn="1" w:lastColumn="0" w:noHBand="0" w:noVBand="1"/>
      </w:tblPr>
      <w:tblGrid>
        <w:gridCol w:w="3085"/>
        <w:gridCol w:w="1843"/>
        <w:gridCol w:w="2268"/>
        <w:gridCol w:w="2126"/>
      </w:tblGrid>
      <w:tr w:rsidR="00181FCD" w:rsidRPr="00D0163B" w14:paraId="60D39F16" w14:textId="77777777" w:rsidTr="708AD3B3">
        <w:tc>
          <w:tcPr>
            <w:tcW w:w="3085" w:type="dxa"/>
          </w:tcPr>
          <w:p w14:paraId="5E70C454" w14:textId="77777777" w:rsidR="00181FCD" w:rsidRPr="00D0163B" w:rsidRDefault="00181FCD" w:rsidP="00EA2FB2">
            <w:pPr>
              <w:rPr>
                <w:rFonts w:ascii="Century Gothic" w:hAnsi="Century Gothic" w:cstheme="minorHAnsi"/>
                <w:bCs/>
                <w:color w:val="000000" w:themeColor="text1"/>
                <w:szCs w:val="24"/>
                <w:lang w:val="en"/>
              </w:rPr>
            </w:pPr>
            <w:r>
              <w:rPr>
                <w:rFonts w:ascii="Century Gothic" w:hAnsi="Century Gothic" w:cstheme="minorHAnsi"/>
                <w:bCs/>
                <w:color w:val="000000" w:themeColor="text1"/>
                <w:szCs w:val="24"/>
                <w:lang w:val="en"/>
              </w:rPr>
              <w:t xml:space="preserve">Signed </w:t>
            </w:r>
            <w:r w:rsidRPr="00D0163B">
              <w:rPr>
                <w:rFonts w:ascii="Century Gothic" w:hAnsi="Century Gothic" w:cstheme="minorHAnsi"/>
                <w:bCs/>
                <w:color w:val="000000" w:themeColor="text1"/>
                <w:szCs w:val="24"/>
                <w:lang w:val="en"/>
              </w:rPr>
              <w:t xml:space="preserve">by </w:t>
            </w:r>
            <w:r>
              <w:rPr>
                <w:rFonts w:ascii="Century Gothic" w:hAnsi="Century Gothic" w:cstheme="minorHAnsi"/>
                <w:bCs/>
                <w:color w:val="000000" w:themeColor="text1"/>
                <w:szCs w:val="24"/>
                <w:lang w:val="en"/>
              </w:rPr>
              <w:t>all Partners</w:t>
            </w:r>
          </w:p>
        </w:tc>
        <w:tc>
          <w:tcPr>
            <w:tcW w:w="6237" w:type="dxa"/>
            <w:gridSpan w:val="3"/>
          </w:tcPr>
          <w:p w14:paraId="2728BC7C" w14:textId="78882EAD" w:rsidR="00181FCD" w:rsidRPr="00596E20" w:rsidRDefault="00181FCD" w:rsidP="00EA2FB2">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Original signed by all Partne</w:t>
            </w:r>
            <w:r w:rsidR="001B3CF2">
              <w:rPr>
                <w:rFonts w:ascii="Century Gothic" w:hAnsi="Century Gothic" w:cstheme="minorHAnsi"/>
                <w:bCs/>
                <w:color w:val="000000" w:themeColor="text1"/>
                <w:szCs w:val="24"/>
                <w:lang w:val="en"/>
              </w:rPr>
              <w:t>r</w:t>
            </w:r>
            <w:r w:rsidRPr="00596E20">
              <w:rPr>
                <w:rFonts w:ascii="Century Gothic" w:hAnsi="Century Gothic" w:cstheme="minorHAnsi"/>
                <w:bCs/>
                <w:color w:val="000000" w:themeColor="text1"/>
                <w:szCs w:val="24"/>
                <w:lang w:val="en"/>
              </w:rPr>
              <w:t>s</w:t>
            </w:r>
          </w:p>
        </w:tc>
      </w:tr>
      <w:tr w:rsidR="00181FCD" w:rsidRPr="00D0163B" w14:paraId="202CCE32" w14:textId="77777777" w:rsidTr="708AD3B3">
        <w:tc>
          <w:tcPr>
            <w:tcW w:w="3085" w:type="dxa"/>
          </w:tcPr>
          <w:p w14:paraId="58291920" w14:textId="77777777" w:rsidR="00181FCD" w:rsidRPr="00D0163B" w:rsidRDefault="00181FCD" w:rsidP="00EA2FB2">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Date effective</w:t>
            </w:r>
          </w:p>
        </w:tc>
        <w:tc>
          <w:tcPr>
            <w:tcW w:w="1843" w:type="dxa"/>
          </w:tcPr>
          <w:p w14:paraId="3BB5B6DE" w14:textId="6BB7253C" w:rsidR="00181FCD" w:rsidRPr="00596E20" w:rsidRDefault="5EDF6DFF" w:rsidP="708AD3B3">
            <w:pPr>
              <w:rPr>
                <w:rFonts w:ascii="Century Gothic" w:hAnsi="Century Gothic"/>
                <w:color w:val="000000" w:themeColor="text1"/>
                <w:lang w:val="en"/>
              </w:rPr>
            </w:pPr>
            <w:r w:rsidRPr="708AD3B3">
              <w:rPr>
                <w:rFonts w:ascii="Century Gothic" w:hAnsi="Century Gothic"/>
                <w:color w:val="000000" w:themeColor="text1"/>
                <w:lang w:val="en"/>
              </w:rPr>
              <w:t>1</w:t>
            </w:r>
            <w:r w:rsidR="00F64BDF">
              <w:rPr>
                <w:rFonts w:ascii="Century Gothic" w:hAnsi="Century Gothic"/>
                <w:color w:val="000000" w:themeColor="text1"/>
                <w:lang w:val="en"/>
              </w:rPr>
              <w:t xml:space="preserve"> June 2022</w:t>
            </w:r>
          </w:p>
        </w:tc>
        <w:tc>
          <w:tcPr>
            <w:tcW w:w="2268" w:type="dxa"/>
          </w:tcPr>
          <w:p w14:paraId="45353F1C" w14:textId="77777777" w:rsidR="00181FCD" w:rsidRPr="00596E20" w:rsidRDefault="00181FCD" w:rsidP="00EA2FB2">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Version</w:t>
            </w:r>
          </w:p>
        </w:tc>
        <w:tc>
          <w:tcPr>
            <w:tcW w:w="2126" w:type="dxa"/>
          </w:tcPr>
          <w:p w14:paraId="26C2F48F" w14:textId="6C1C4DF4" w:rsidR="00181FCD" w:rsidRPr="00596E20" w:rsidRDefault="5EDF6DFF" w:rsidP="708AD3B3">
            <w:pPr>
              <w:rPr>
                <w:rFonts w:ascii="Century Gothic" w:hAnsi="Century Gothic"/>
                <w:color w:val="000000" w:themeColor="text1"/>
                <w:lang w:val="en"/>
              </w:rPr>
            </w:pPr>
            <w:r w:rsidRPr="708AD3B3">
              <w:rPr>
                <w:rFonts w:ascii="Century Gothic" w:hAnsi="Century Gothic"/>
                <w:color w:val="000000" w:themeColor="text1"/>
                <w:lang w:val="en"/>
              </w:rPr>
              <w:t>V</w:t>
            </w:r>
            <w:r w:rsidR="5FD8CC57" w:rsidRPr="708AD3B3">
              <w:rPr>
                <w:rFonts w:ascii="Century Gothic" w:hAnsi="Century Gothic"/>
                <w:color w:val="000000" w:themeColor="text1"/>
                <w:lang w:val="en"/>
              </w:rPr>
              <w:t>-</w:t>
            </w:r>
            <w:r w:rsidR="00F64BDF">
              <w:rPr>
                <w:rFonts w:ascii="Century Gothic" w:hAnsi="Century Gothic"/>
                <w:color w:val="000000" w:themeColor="text1"/>
                <w:lang w:val="en"/>
              </w:rPr>
              <w:t>4</w:t>
            </w:r>
          </w:p>
        </w:tc>
      </w:tr>
      <w:tr w:rsidR="00181FCD" w:rsidRPr="00D0163B" w14:paraId="582D0E9F" w14:textId="77777777" w:rsidTr="708AD3B3">
        <w:trPr>
          <w:trHeight w:val="90"/>
        </w:trPr>
        <w:tc>
          <w:tcPr>
            <w:tcW w:w="3085" w:type="dxa"/>
          </w:tcPr>
          <w:p w14:paraId="71EF0923" w14:textId="77777777" w:rsidR="00181FCD" w:rsidRPr="00D0163B" w:rsidRDefault="00181FCD" w:rsidP="00EA2FB2">
            <w:pPr>
              <w:rPr>
                <w:rFonts w:ascii="Century Gothic" w:hAnsi="Century Gothic" w:cstheme="minorHAnsi"/>
                <w:bCs/>
                <w:color w:val="000000" w:themeColor="text1"/>
                <w:szCs w:val="24"/>
                <w:lang w:val="en"/>
              </w:rPr>
            </w:pPr>
            <w:r w:rsidRPr="00D0163B">
              <w:rPr>
                <w:rFonts w:ascii="Century Gothic" w:hAnsi="Century Gothic" w:cstheme="minorHAnsi"/>
                <w:bCs/>
                <w:color w:val="000000" w:themeColor="text1"/>
                <w:szCs w:val="24"/>
                <w:lang w:val="en"/>
              </w:rPr>
              <w:t>Review date</w:t>
            </w:r>
          </w:p>
        </w:tc>
        <w:tc>
          <w:tcPr>
            <w:tcW w:w="1843" w:type="dxa"/>
          </w:tcPr>
          <w:p w14:paraId="7A3E6DA9" w14:textId="3DFFF644" w:rsidR="00181FCD" w:rsidRPr="00596E20" w:rsidRDefault="5EDF6DFF" w:rsidP="708AD3B3">
            <w:pPr>
              <w:rPr>
                <w:rFonts w:ascii="Century Gothic" w:hAnsi="Century Gothic"/>
                <w:color w:val="000000" w:themeColor="text1"/>
                <w:lang w:val="en"/>
              </w:rPr>
            </w:pPr>
            <w:r w:rsidRPr="708AD3B3">
              <w:rPr>
                <w:rFonts w:ascii="Century Gothic" w:hAnsi="Century Gothic"/>
                <w:color w:val="000000" w:themeColor="text1"/>
                <w:lang w:val="en"/>
              </w:rPr>
              <w:t xml:space="preserve">1 </w:t>
            </w:r>
            <w:r w:rsidR="00F64BDF">
              <w:rPr>
                <w:rFonts w:ascii="Century Gothic" w:hAnsi="Century Gothic"/>
                <w:color w:val="000000" w:themeColor="text1"/>
                <w:lang w:val="en"/>
              </w:rPr>
              <w:t>June 2024</w:t>
            </w:r>
          </w:p>
        </w:tc>
        <w:tc>
          <w:tcPr>
            <w:tcW w:w="2268" w:type="dxa"/>
          </w:tcPr>
          <w:p w14:paraId="4801E69A" w14:textId="77777777" w:rsidR="00181FCD" w:rsidRPr="00596E20" w:rsidRDefault="00181FCD" w:rsidP="00EA2FB2">
            <w:pPr>
              <w:rPr>
                <w:rFonts w:ascii="Century Gothic" w:hAnsi="Century Gothic" w:cstheme="minorHAnsi"/>
                <w:bCs/>
                <w:color w:val="000000" w:themeColor="text1"/>
                <w:szCs w:val="24"/>
                <w:lang w:val="en"/>
              </w:rPr>
            </w:pPr>
            <w:r w:rsidRPr="00596E20">
              <w:rPr>
                <w:rFonts w:ascii="Century Gothic" w:hAnsi="Century Gothic" w:cstheme="minorHAnsi"/>
                <w:bCs/>
                <w:color w:val="000000" w:themeColor="text1"/>
                <w:szCs w:val="24"/>
                <w:lang w:val="en"/>
              </w:rPr>
              <w:t>No of pages</w:t>
            </w:r>
          </w:p>
        </w:tc>
        <w:tc>
          <w:tcPr>
            <w:tcW w:w="2126" w:type="dxa"/>
          </w:tcPr>
          <w:p w14:paraId="0BF885AE" w14:textId="7E3BA232" w:rsidR="00181FCD" w:rsidRPr="00596E20" w:rsidRDefault="1775FBC3" w:rsidP="708AD3B3">
            <w:pPr>
              <w:rPr>
                <w:rFonts w:ascii="Century Gothic" w:hAnsi="Century Gothic"/>
                <w:color w:val="000000" w:themeColor="text1"/>
                <w:lang w:val="en"/>
              </w:rPr>
            </w:pPr>
            <w:r w:rsidRPr="708AD3B3">
              <w:rPr>
                <w:rFonts w:ascii="Century Gothic" w:hAnsi="Century Gothic"/>
                <w:color w:val="000000" w:themeColor="text1"/>
                <w:lang w:val="en"/>
              </w:rPr>
              <w:t>4</w:t>
            </w:r>
          </w:p>
        </w:tc>
      </w:tr>
    </w:tbl>
    <w:p w14:paraId="608C9527" w14:textId="77777777" w:rsidR="00347600" w:rsidRPr="00D0163B" w:rsidRDefault="00347600" w:rsidP="00347600">
      <w:pPr>
        <w:spacing w:after="0" w:line="360" w:lineRule="auto"/>
        <w:rPr>
          <w:rFonts w:ascii="Century Gothic" w:hAnsi="Century Gothic" w:cstheme="minorHAnsi"/>
          <w:color w:val="000000" w:themeColor="text1"/>
          <w:szCs w:val="24"/>
        </w:rPr>
      </w:pPr>
      <w:bookmarkStart w:id="0" w:name="_Annexure_A_–"/>
      <w:bookmarkEnd w:id="0"/>
    </w:p>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0234C3">
      <w:headerReference w:type="default" r:id="rId11"/>
      <w:footerReference w:type="even" r:id="rId12"/>
      <w:footerReference w:type="default" r:id="rId13"/>
      <w:pgSz w:w="11906" w:h="16838"/>
      <w:pgMar w:top="1276" w:right="1440" w:bottom="1440"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97A1" w14:textId="77777777" w:rsidR="00133097" w:rsidRDefault="00133097" w:rsidP="00EC572F">
      <w:pPr>
        <w:spacing w:after="0" w:line="240" w:lineRule="auto"/>
      </w:pPr>
      <w:r>
        <w:separator/>
      </w:r>
    </w:p>
  </w:endnote>
  <w:endnote w:type="continuationSeparator" w:id="0">
    <w:p w14:paraId="43262553" w14:textId="77777777" w:rsidR="00133097" w:rsidRDefault="00133097"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15378E" w:rsidRDefault="0015378E"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15378E" w:rsidRDefault="0015378E"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311AB85F" w14:textId="77777777" w:rsidR="0015378E" w:rsidRDefault="0015378E" w:rsidP="000234C3">
        <w:pPr>
          <w:pStyle w:val="Footer"/>
          <w:pBdr>
            <w:top w:val="single" w:sz="4" w:space="1" w:color="auto"/>
          </w:pBdr>
          <w:ind w:right="360"/>
          <w:rPr>
            <w:sz w:val="20"/>
            <w:szCs w:val="20"/>
          </w:rPr>
        </w:pPr>
        <w:r w:rsidRPr="008644E6">
          <w:rPr>
            <w:sz w:val="20"/>
            <w:szCs w:val="20"/>
          </w:rPr>
          <w:t xml:space="preserve">Policy Name: </w:t>
        </w:r>
        <w:r>
          <w:rPr>
            <w:sz w:val="20"/>
            <w:szCs w:val="20"/>
          </w:rPr>
          <w:t xml:space="preserve">Plan Management - Payment of invoices </w:t>
        </w:r>
      </w:p>
      <w:p w14:paraId="506018B3" w14:textId="1F977535" w:rsidR="0015378E" w:rsidRPr="000234C3" w:rsidRDefault="0015378E" w:rsidP="000234C3">
        <w:pPr>
          <w:pStyle w:val="Footer"/>
          <w:pBdr>
            <w:top w:val="single" w:sz="4" w:space="1" w:color="auto"/>
          </w:pBdr>
          <w:ind w:right="360"/>
          <w:rPr>
            <w:rStyle w:val="PageNumber"/>
            <w:sz w:val="20"/>
            <w:szCs w:val="20"/>
          </w:rPr>
        </w:pPr>
        <w:r>
          <w:rPr>
            <w:sz w:val="20"/>
            <w:szCs w:val="20"/>
          </w:rPr>
          <w:t xml:space="preserve">Policy </w:t>
        </w:r>
        <w:r w:rsidRPr="00596E20">
          <w:rPr>
            <w:sz w:val="20"/>
            <w:szCs w:val="20"/>
          </w:rPr>
          <w:t>Number</w:t>
        </w:r>
        <w:r>
          <w:rPr>
            <w:sz w:val="20"/>
            <w:szCs w:val="20"/>
          </w:rPr>
          <w:t xml:space="preserve">: </w:t>
        </w:r>
        <w:r w:rsidR="00A7578A">
          <w:rPr>
            <w:sz w:val="20"/>
            <w:szCs w:val="20"/>
          </w:rPr>
          <w:t>C2</w:t>
        </w:r>
        <w:r>
          <w:rPr>
            <w:sz w:val="20"/>
            <w:szCs w:val="20"/>
          </w:rPr>
          <w:t xml:space="preserve">   </w:t>
        </w:r>
        <w:r w:rsidRPr="008644E6">
          <w:rPr>
            <w:sz w:val="20"/>
            <w:szCs w:val="20"/>
          </w:rPr>
          <w:t xml:space="preserve">Version Number: </w:t>
        </w:r>
        <w:r>
          <w:rPr>
            <w:sz w:val="20"/>
            <w:szCs w:val="20"/>
          </w:rPr>
          <w:t>V-</w:t>
        </w:r>
        <w:r w:rsidR="00245AE8">
          <w:rPr>
            <w:sz w:val="20"/>
            <w:szCs w:val="20"/>
          </w:rPr>
          <w:t>4</w:t>
        </w:r>
        <w:r>
          <w:rPr>
            <w:sz w:val="20"/>
            <w:szCs w:val="20"/>
          </w:rPr>
          <w:tab/>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750DF3">
          <w:rPr>
            <w:rStyle w:val="PageNumber"/>
            <w:noProof/>
            <w:sz w:val="22"/>
          </w:rPr>
          <w:t>2</w:t>
        </w:r>
        <w:r w:rsidRPr="008644E6">
          <w:rPr>
            <w:rStyle w:val="PageNumber"/>
            <w:sz w:val="22"/>
          </w:rPr>
          <w:fldChar w:fldCharType="end"/>
        </w:r>
      </w:p>
      <w:p w14:paraId="11A07474" w14:textId="77777777" w:rsidR="0015378E" w:rsidRPr="008644E6" w:rsidRDefault="0015378E" w:rsidP="00177F88">
        <w:pPr>
          <w:pStyle w:val="Footer"/>
          <w:framePr w:wrap="around" w:vAnchor="text" w:hAnchor="margin" w:xAlign="right" w:y="85"/>
          <w:ind w:right="360"/>
          <w:rPr>
            <w:rStyle w:val="PageNumber"/>
            <w:sz w:val="22"/>
          </w:rPr>
        </w:pPr>
      </w:p>
      <w:p w14:paraId="55C63537" w14:textId="1254DB6E" w:rsidR="0015378E" w:rsidRDefault="0015378E" w:rsidP="00085EE6">
        <w:pPr>
          <w:pStyle w:val="Footer"/>
        </w:pPr>
        <w:r>
          <w:tab/>
          <w:t xml:space="preserve"> </w:t>
        </w:r>
      </w:p>
      <w:p w14:paraId="1BCA89B6" w14:textId="0A06E44A" w:rsidR="0015378E" w:rsidRDefault="0015378E" w:rsidP="00085EE6">
        <w:pPr>
          <w:pStyle w:val="Footer"/>
        </w:pPr>
        <w:r>
          <w:tab/>
        </w:r>
      </w:p>
      <w:p w14:paraId="7CB4354B" w14:textId="36A6A885" w:rsidR="0015378E" w:rsidRDefault="0015378E">
        <w:pPr>
          <w:pStyle w:val="Footer"/>
          <w:jc w:val="center"/>
        </w:pPr>
        <w:r>
          <w:t xml:space="preserve"> </w:t>
        </w:r>
      </w:p>
    </w:sdtContent>
  </w:sdt>
  <w:p w14:paraId="286D79BB" w14:textId="77777777" w:rsidR="0015378E" w:rsidRDefault="00153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7327" w14:textId="77777777" w:rsidR="00133097" w:rsidRDefault="00133097" w:rsidP="00EC572F">
      <w:pPr>
        <w:spacing w:after="0" w:line="240" w:lineRule="auto"/>
      </w:pPr>
      <w:r>
        <w:separator/>
      </w:r>
    </w:p>
  </w:footnote>
  <w:footnote w:type="continuationSeparator" w:id="0">
    <w:p w14:paraId="7840B40B" w14:textId="77777777" w:rsidR="00133097" w:rsidRDefault="00133097"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18CDFE6" w:rsidR="0015378E" w:rsidRDefault="0015378E" w:rsidP="00085EE6">
    <w:pPr>
      <w:pStyle w:val="Header"/>
    </w:pPr>
    <w:r>
      <w:rPr>
        <w:noProof/>
        <w:lang w:val="en-US"/>
      </w:rPr>
      <w:drawing>
        <wp:anchor distT="0" distB="0" distL="114300" distR="114300" simplePos="0" relativeHeight="251659264" behindDoc="0" locked="0" layoutInCell="1" allowOverlap="1" wp14:anchorId="29F73AED" wp14:editId="748ADAE1">
          <wp:simplePos x="0" y="0"/>
          <wp:positionH relativeFrom="column">
            <wp:posOffset>3886200</wp:posOffset>
          </wp:positionH>
          <wp:positionV relativeFrom="paragraph">
            <wp:posOffset>-379730</wp:posOffset>
          </wp:positionV>
          <wp:extent cx="2057400" cy="1223010"/>
          <wp:effectExtent l="0" t="0" r="0" b="0"/>
          <wp:wrapTight wrapText="bothSides">
            <wp:wrapPolygon edited="0">
              <wp:start x="0" y="0"/>
              <wp:lineTo x="0" y="21084"/>
              <wp:lineTo x="21333" y="21084"/>
              <wp:lineTo x="21333" y="0"/>
              <wp:lineTo x="0" y="0"/>
            </wp:wrapPolygon>
          </wp:wrapTight>
          <wp:docPr id="2" name="Picture 2" descr="Macintosh HD:Users:barbelwinter:Desktop:futures insight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elwinter:Desktop:futures insight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AE55F" w14:textId="47EE21D5" w:rsidR="0015378E" w:rsidRDefault="0015378E" w:rsidP="00085EE6">
    <w:pPr>
      <w:pStyle w:val="Header"/>
    </w:pPr>
  </w:p>
  <w:p w14:paraId="721E27A7" w14:textId="77777777" w:rsidR="0015378E" w:rsidRDefault="0015378E" w:rsidP="00085EE6">
    <w:pPr>
      <w:pStyle w:val="Header"/>
    </w:pPr>
  </w:p>
  <w:p w14:paraId="09E43013" w14:textId="27AA055D" w:rsidR="0015378E" w:rsidRDefault="0015378E" w:rsidP="003E45C2">
    <w:pPr>
      <w:pStyle w:val="Header"/>
      <w:tabs>
        <w:tab w:val="clear" w:pos="4513"/>
        <w:tab w:val="clear" w:pos="9026"/>
        <w:tab w:val="left" w:pos="2100"/>
      </w:tabs>
    </w:pPr>
    <w:r>
      <w:tab/>
    </w:r>
  </w:p>
  <w:p w14:paraId="085A56A2" w14:textId="66F0564C" w:rsidR="0015378E" w:rsidRPr="00085EE6" w:rsidRDefault="0015378E"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11402A1"/>
    <w:multiLevelType w:val="hybridMultilevel"/>
    <w:tmpl w:val="3186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0A5F"/>
    <w:multiLevelType w:val="hybridMultilevel"/>
    <w:tmpl w:val="3C3ADABC"/>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25037"/>
    <w:multiLevelType w:val="hybridMultilevel"/>
    <w:tmpl w:val="1BEE0298"/>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C47B7"/>
    <w:multiLevelType w:val="multilevel"/>
    <w:tmpl w:val="F3D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65C87"/>
    <w:multiLevelType w:val="hybridMultilevel"/>
    <w:tmpl w:val="FD8A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05586"/>
    <w:multiLevelType w:val="hybridMultilevel"/>
    <w:tmpl w:val="8E8E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75B51"/>
    <w:multiLevelType w:val="multilevel"/>
    <w:tmpl w:val="D840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E65F6"/>
    <w:multiLevelType w:val="hybridMultilevel"/>
    <w:tmpl w:val="C074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D0923"/>
    <w:multiLevelType w:val="multilevel"/>
    <w:tmpl w:val="66B8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5C39A9"/>
    <w:multiLevelType w:val="hybridMultilevel"/>
    <w:tmpl w:val="A83C909A"/>
    <w:lvl w:ilvl="0" w:tplc="B0DA2D86">
      <w:start w:val="1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E06011"/>
    <w:multiLevelType w:val="hybridMultilevel"/>
    <w:tmpl w:val="547C8A7A"/>
    <w:lvl w:ilvl="0" w:tplc="E02EEB96">
      <w:start w:val="1"/>
      <w:numFmt w:val="bullet"/>
      <w:lvlText w:val=""/>
      <w:lvlJc w:val="left"/>
      <w:pPr>
        <w:ind w:left="720" w:hanging="360"/>
      </w:pPr>
      <w:rPr>
        <w:rFonts w:ascii="Symbol" w:hAnsi="Symbol" w:hint="default"/>
      </w:rPr>
    </w:lvl>
    <w:lvl w:ilvl="1" w:tplc="7766F66A">
      <w:start w:val="1"/>
      <w:numFmt w:val="bullet"/>
      <w:lvlText w:val="o"/>
      <w:lvlJc w:val="left"/>
      <w:pPr>
        <w:ind w:left="1440" w:hanging="360"/>
      </w:pPr>
      <w:rPr>
        <w:rFonts w:ascii="Courier New" w:hAnsi="Courier New" w:hint="default"/>
      </w:rPr>
    </w:lvl>
    <w:lvl w:ilvl="2" w:tplc="F99EBD4A">
      <w:start w:val="1"/>
      <w:numFmt w:val="bullet"/>
      <w:lvlText w:val=""/>
      <w:lvlJc w:val="left"/>
      <w:pPr>
        <w:ind w:left="2160" w:hanging="360"/>
      </w:pPr>
      <w:rPr>
        <w:rFonts w:ascii="Wingdings" w:hAnsi="Wingdings" w:hint="default"/>
      </w:rPr>
    </w:lvl>
    <w:lvl w:ilvl="3" w:tplc="43161778">
      <w:start w:val="1"/>
      <w:numFmt w:val="bullet"/>
      <w:lvlText w:val=""/>
      <w:lvlJc w:val="left"/>
      <w:pPr>
        <w:ind w:left="2880" w:hanging="360"/>
      </w:pPr>
      <w:rPr>
        <w:rFonts w:ascii="Symbol" w:hAnsi="Symbol" w:hint="default"/>
      </w:rPr>
    </w:lvl>
    <w:lvl w:ilvl="4" w:tplc="CED07D00">
      <w:start w:val="1"/>
      <w:numFmt w:val="bullet"/>
      <w:lvlText w:val="o"/>
      <w:lvlJc w:val="left"/>
      <w:pPr>
        <w:ind w:left="3600" w:hanging="360"/>
      </w:pPr>
      <w:rPr>
        <w:rFonts w:ascii="Courier New" w:hAnsi="Courier New" w:hint="default"/>
      </w:rPr>
    </w:lvl>
    <w:lvl w:ilvl="5" w:tplc="FB848926">
      <w:start w:val="1"/>
      <w:numFmt w:val="bullet"/>
      <w:lvlText w:val=""/>
      <w:lvlJc w:val="left"/>
      <w:pPr>
        <w:ind w:left="4320" w:hanging="360"/>
      </w:pPr>
      <w:rPr>
        <w:rFonts w:ascii="Wingdings" w:hAnsi="Wingdings" w:hint="default"/>
      </w:rPr>
    </w:lvl>
    <w:lvl w:ilvl="6" w:tplc="E5DEF2A6">
      <w:start w:val="1"/>
      <w:numFmt w:val="bullet"/>
      <w:lvlText w:val=""/>
      <w:lvlJc w:val="left"/>
      <w:pPr>
        <w:ind w:left="5040" w:hanging="360"/>
      </w:pPr>
      <w:rPr>
        <w:rFonts w:ascii="Symbol" w:hAnsi="Symbol" w:hint="default"/>
      </w:rPr>
    </w:lvl>
    <w:lvl w:ilvl="7" w:tplc="6310E82E">
      <w:start w:val="1"/>
      <w:numFmt w:val="bullet"/>
      <w:lvlText w:val="o"/>
      <w:lvlJc w:val="left"/>
      <w:pPr>
        <w:ind w:left="5760" w:hanging="360"/>
      </w:pPr>
      <w:rPr>
        <w:rFonts w:ascii="Courier New" w:hAnsi="Courier New" w:hint="default"/>
      </w:rPr>
    </w:lvl>
    <w:lvl w:ilvl="8" w:tplc="EEE692C8">
      <w:start w:val="1"/>
      <w:numFmt w:val="bullet"/>
      <w:lvlText w:val=""/>
      <w:lvlJc w:val="left"/>
      <w:pPr>
        <w:ind w:left="6480" w:hanging="360"/>
      </w:pPr>
      <w:rPr>
        <w:rFonts w:ascii="Wingdings" w:hAnsi="Wingdings" w:hint="default"/>
      </w:rPr>
    </w:lvl>
  </w:abstractNum>
  <w:abstractNum w:abstractNumId="17" w15:restartNumberingAfterBreak="0">
    <w:nsid w:val="38246C11"/>
    <w:multiLevelType w:val="multilevel"/>
    <w:tmpl w:val="4EC0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04374"/>
    <w:multiLevelType w:val="hybridMultilevel"/>
    <w:tmpl w:val="FE6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E7575"/>
    <w:multiLevelType w:val="hybridMultilevel"/>
    <w:tmpl w:val="D406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A6B1D"/>
    <w:multiLevelType w:val="hybridMultilevel"/>
    <w:tmpl w:val="E90E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F72CB1"/>
    <w:multiLevelType w:val="hybridMultilevel"/>
    <w:tmpl w:val="7382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139E1"/>
    <w:multiLevelType w:val="hybridMultilevel"/>
    <w:tmpl w:val="47AE35DA"/>
    <w:lvl w:ilvl="0" w:tplc="3466A6DE">
      <w:start w:val="1"/>
      <w:numFmt w:val="bullet"/>
      <w:lvlText w:val=""/>
      <w:lvlJc w:val="left"/>
      <w:pPr>
        <w:ind w:left="720" w:hanging="360"/>
      </w:pPr>
      <w:rPr>
        <w:rFonts w:ascii="Symbol" w:hAnsi="Symbol" w:hint="default"/>
      </w:rPr>
    </w:lvl>
    <w:lvl w:ilvl="1" w:tplc="38A2232A">
      <w:start w:val="1"/>
      <w:numFmt w:val="bullet"/>
      <w:lvlText w:val="o"/>
      <w:lvlJc w:val="left"/>
      <w:pPr>
        <w:ind w:left="1440" w:hanging="360"/>
      </w:pPr>
      <w:rPr>
        <w:rFonts w:ascii="Courier New" w:hAnsi="Courier New" w:hint="default"/>
      </w:rPr>
    </w:lvl>
    <w:lvl w:ilvl="2" w:tplc="8EA0F4E0">
      <w:start w:val="1"/>
      <w:numFmt w:val="bullet"/>
      <w:lvlText w:val=""/>
      <w:lvlJc w:val="left"/>
      <w:pPr>
        <w:ind w:left="2160" w:hanging="360"/>
      </w:pPr>
      <w:rPr>
        <w:rFonts w:ascii="Wingdings" w:hAnsi="Wingdings" w:hint="default"/>
      </w:rPr>
    </w:lvl>
    <w:lvl w:ilvl="3" w:tplc="C1A203F2">
      <w:start w:val="1"/>
      <w:numFmt w:val="bullet"/>
      <w:lvlText w:val=""/>
      <w:lvlJc w:val="left"/>
      <w:pPr>
        <w:ind w:left="2880" w:hanging="360"/>
      </w:pPr>
      <w:rPr>
        <w:rFonts w:ascii="Symbol" w:hAnsi="Symbol" w:hint="default"/>
      </w:rPr>
    </w:lvl>
    <w:lvl w:ilvl="4" w:tplc="C6E6EDE8">
      <w:start w:val="1"/>
      <w:numFmt w:val="bullet"/>
      <w:lvlText w:val="o"/>
      <w:lvlJc w:val="left"/>
      <w:pPr>
        <w:ind w:left="3600" w:hanging="360"/>
      </w:pPr>
      <w:rPr>
        <w:rFonts w:ascii="Courier New" w:hAnsi="Courier New" w:hint="default"/>
      </w:rPr>
    </w:lvl>
    <w:lvl w:ilvl="5" w:tplc="8274193C">
      <w:start w:val="1"/>
      <w:numFmt w:val="bullet"/>
      <w:lvlText w:val=""/>
      <w:lvlJc w:val="left"/>
      <w:pPr>
        <w:ind w:left="4320" w:hanging="360"/>
      </w:pPr>
      <w:rPr>
        <w:rFonts w:ascii="Wingdings" w:hAnsi="Wingdings" w:hint="default"/>
      </w:rPr>
    </w:lvl>
    <w:lvl w:ilvl="6" w:tplc="858E121C">
      <w:start w:val="1"/>
      <w:numFmt w:val="bullet"/>
      <w:lvlText w:val=""/>
      <w:lvlJc w:val="left"/>
      <w:pPr>
        <w:ind w:left="5040" w:hanging="360"/>
      </w:pPr>
      <w:rPr>
        <w:rFonts w:ascii="Symbol" w:hAnsi="Symbol" w:hint="default"/>
      </w:rPr>
    </w:lvl>
    <w:lvl w:ilvl="7" w:tplc="32FC3C02">
      <w:start w:val="1"/>
      <w:numFmt w:val="bullet"/>
      <w:lvlText w:val="o"/>
      <w:lvlJc w:val="left"/>
      <w:pPr>
        <w:ind w:left="5760" w:hanging="360"/>
      </w:pPr>
      <w:rPr>
        <w:rFonts w:ascii="Courier New" w:hAnsi="Courier New" w:hint="default"/>
      </w:rPr>
    </w:lvl>
    <w:lvl w:ilvl="8" w:tplc="89F2827C">
      <w:start w:val="1"/>
      <w:numFmt w:val="bullet"/>
      <w:lvlText w:val=""/>
      <w:lvlJc w:val="left"/>
      <w:pPr>
        <w:ind w:left="6480" w:hanging="360"/>
      </w:pPr>
      <w:rPr>
        <w:rFonts w:ascii="Wingdings" w:hAnsi="Wingdings" w:hint="default"/>
      </w:rPr>
    </w:lvl>
  </w:abstractNum>
  <w:abstractNum w:abstractNumId="24" w15:restartNumberingAfterBreak="0">
    <w:nsid w:val="52B668F8"/>
    <w:multiLevelType w:val="hybridMultilevel"/>
    <w:tmpl w:val="8A8EFED8"/>
    <w:lvl w:ilvl="0" w:tplc="344A71EE">
      <w:start w:val="1"/>
      <w:numFmt w:val="bullet"/>
      <w:lvlText w:val=""/>
      <w:lvlJc w:val="left"/>
      <w:pPr>
        <w:ind w:left="720" w:hanging="360"/>
      </w:pPr>
      <w:rPr>
        <w:rFonts w:ascii="Symbol" w:hAnsi="Symbol" w:hint="default"/>
      </w:rPr>
    </w:lvl>
    <w:lvl w:ilvl="1" w:tplc="2C9E0580">
      <w:start w:val="1"/>
      <w:numFmt w:val="bullet"/>
      <w:lvlText w:val="o"/>
      <w:lvlJc w:val="left"/>
      <w:pPr>
        <w:ind w:left="1440" w:hanging="360"/>
      </w:pPr>
      <w:rPr>
        <w:rFonts w:ascii="Courier New" w:hAnsi="Courier New" w:hint="default"/>
      </w:rPr>
    </w:lvl>
    <w:lvl w:ilvl="2" w:tplc="525AC794">
      <w:start w:val="1"/>
      <w:numFmt w:val="bullet"/>
      <w:lvlText w:val=""/>
      <w:lvlJc w:val="left"/>
      <w:pPr>
        <w:ind w:left="2160" w:hanging="360"/>
      </w:pPr>
      <w:rPr>
        <w:rFonts w:ascii="Wingdings" w:hAnsi="Wingdings" w:hint="default"/>
      </w:rPr>
    </w:lvl>
    <w:lvl w:ilvl="3" w:tplc="068A38D8">
      <w:start w:val="1"/>
      <w:numFmt w:val="bullet"/>
      <w:lvlText w:val=""/>
      <w:lvlJc w:val="left"/>
      <w:pPr>
        <w:ind w:left="2880" w:hanging="360"/>
      </w:pPr>
      <w:rPr>
        <w:rFonts w:ascii="Symbol" w:hAnsi="Symbol" w:hint="default"/>
      </w:rPr>
    </w:lvl>
    <w:lvl w:ilvl="4" w:tplc="2FAEB168">
      <w:start w:val="1"/>
      <w:numFmt w:val="bullet"/>
      <w:lvlText w:val="o"/>
      <w:lvlJc w:val="left"/>
      <w:pPr>
        <w:ind w:left="3600" w:hanging="360"/>
      </w:pPr>
      <w:rPr>
        <w:rFonts w:ascii="Courier New" w:hAnsi="Courier New" w:hint="default"/>
      </w:rPr>
    </w:lvl>
    <w:lvl w:ilvl="5" w:tplc="8B163AD8">
      <w:start w:val="1"/>
      <w:numFmt w:val="bullet"/>
      <w:lvlText w:val=""/>
      <w:lvlJc w:val="left"/>
      <w:pPr>
        <w:ind w:left="4320" w:hanging="360"/>
      </w:pPr>
      <w:rPr>
        <w:rFonts w:ascii="Wingdings" w:hAnsi="Wingdings" w:hint="default"/>
      </w:rPr>
    </w:lvl>
    <w:lvl w:ilvl="6" w:tplc="D3C48BFE">
      <w:start w:val="1"/>
      <w:numFmt w:val="bullet"/>
      <w:lvlText w:val=""/>
      <w:lvlJc w:val="left"/>
      <w:pPr>
        <w:ind w:left="5040" w:hanging="360"/>
      </w:pPr>
      <w:rPr>
        <w:rFonts w:ascii="Symbol" w:hAnsi="Symbol" w:hint="default"/>
      </w:rPr>
    </w:lvl>
    <w:lvl w:ilvl="7" w:tplc="F082407A">
      <w:start w:val="1"/>
      <w:numFmt w:val="bullet"/>
      <w:lvlText w:val="o"/>
      <w:lvlJc w:val="left"/>
      <w:pPr>
        <w:ind w:left="5760" w:hanging="360"/>
      </w:pPr>
      <w:rPr>
        <w:rFonts w:ascii="Courier New" w:hAnsi="Courier New" w:hint="default"/>
      </w:rPr>
    </w:lvl>
    <w:lvl w:ilvl="8" w:tplc="EE8AB134">
      <w:start w:val="1"/>
      <w:numFmt w:val="bullet"/>
      <w:lvlText w:val=""/>
      <w:lvlJc w:val="left"/>
      <w:pPr>
        <w:ind w:left="6480" w:hanging="360"/>
      </w:pPr>
      <w:rPr>
        <w:rFonts w:ascii="Wingdings" w:hAnsi="Wingdings" w:hint="default"/>
      </w:rPr>
    </w:lvl>
  </w:abstractNum>
  <w:abstractNum w:abstractNumId="25" w15:restartNumberingAfterBreak="0">
    <w:nsid w:val="56FD74CC"/>
    <w:multiLevelType w:val="hybridMultilevel"/>
    <w:tmpl w:val="05747D26"/>
    <w:lvl w:ilvl="0" w:tplc="B19E9828">
      <w:start w:val="1"/>
      <w:numFmt w:val="bullet"/>
      <w:lvlText w:val=""/>
      <w:lvlJc w:val="left"/>
      <w:pPr>
        <w:ind w:left="720" w:hanging="360"/>
      </w:pPr>
      <w:rPr>
        <w:rFonts w:ascii="Symbol" w:hAnsi="Symbol" w:hint="default"/>
      </w:rPr>
    </w:lvl>
    <w:lvl w:ilvl="1" w:tplc="9E7C8656">
      <w:start w:val="1"/>
      <w:numFmt w:val="bullet"/>
      <w:lvlText w:val="o"/>
      <w:lvlJc w:val="left"/>
      <w:pPr>
        <w:ind w:left="1440" w:hanging="360"/>
      </w:pPr>
      <w:rPr>
        <w:rFonts w:ascii="Courier New" w:hAnsi="Courier New" w:hint="default"/>
      </w:rPr>
    </w:lvl>
    <w:lvl w:ilvl="2" w:tplc="3078E470">
      <w:start w:val="1"/>
      <w:numFmt w:val="bullet"/>
      <w:lvlText w:val=""/>
      <w:lvlJc w:val="left"/>
      <w:pPr>
        <w:ind w:left="2160" w:hanging="360"/>
      </w:pPr>
      <w:rPr>
        <w:rFonts w:ascii="Wingdings" w:hAnsi="Wingdings" w:hint="default"/>
      </w:rPr>
    </w:lvl>
    <w:lvl w:ilvl="3" w:tplc="28968F42">
      <w:start w:val="1"/>
      <w:numFmt w:val="bullet"/>
      <w:lvlText w:val=""/>
      <w:lvlJc w:val="left"/>
      <w:pPr>
        <w:ind w:left="2880" w:hanging="360"/>
      </w:pPr>
      <w:rPr>
        <w:rFonts w:ascii="Symbol" w:hAnsi="Symbol" w:hint="default"/>
      </w:rPr>
    </w:lvl>
    <w:lvl w:ilvl="4" w:tplc="82AEBCF2">
      <w:start w:val="1"/>
      <w:numFmt w:val="bullet"/>
      <w:lvlText w:val="o"/>
      <w:lvlJc w:val="left"/>
      <w:pPr>
        <w:ind w:left="3600" w:hanging="360"/>
      </w:pPr>
      <w:rPr>
        <w:rFonts w:ascii="Courier New" w:hAnsi="Courier New" w:hint="default"/>
      </w:rPr>
    </w:lvl>
    <w:lvl w:ilvl="5" w:tplc="0226CF5E">
      <w:start w:val="1"/>
      <w:numFmt w:val="bullet"/>
      <w:lvlText w:val=""/>
      <w:lvlJc w:val="left"/>
      <w:pPr>
        <w:ind w:left="4320" w:hanging="360"/>
      </w:pPr>
      <w:rPr>
        <w:rFonts w:ascii="Wingdings" w:hAnsi="Wingdings" w:hint="default"/>
      </w:rPr>
    </w:lvl>
    <w:lvl w:ilvl="6" w:tplc="DD8AADBA">
      <w:start w:val="1"/>
      <w:numFmt w:val="bullet"/>
      <w:lvlText w:val=""/>
      <w:lvlJc w:val="left"/>
      <w:pPr>
        <w:ind w:left="5040" w:hanging="360"/>
      </w:pPr>
      <w:rPr>
        <w:rFonts w:ascii="Symbol" w:hAnsi="Symbol" w:hint="default"/>
      </w:rPr>
    </w:lvl>
    <w:lvl w:ilvl="7" w:tplc="436AA070">
      <w:start w:val="1"/>
      <w:numFmt w:val="bullet"/>
      <w:lvlText w:val="o"/>
      <w:lvlJc w:val="left"/>
      <w:pPr>
        <w:ind w:left="5760" w:hanging="360"/>
      </w:pPr>
      <w:rPr>
        <w:rFonts w:ascii="Courier New" w:hAnsi="Courier New" w:hint="default"/>
      </w:rPr>
    </w:lvl>
    <w:lvl w:ilvl="8" w:tplc="767C0C72">
      <w:start w:val="1"/>
      <w:numFmt w:val="bullet"/>
      <w:lvlText w:val=""/>
      <w:lvlJc w:val="left"/>
      <w:pPr>
        <w:ind w:left="6480" w:hanging="360"/>
      </w:pPr>
      <w:rPr>
        <w:rFonts w:ascii="Wingdings" w:hAnsi="Wingdings" w:hint="default"/>
      </w:rPr>
    </w:lvl>
  </w:abstractNum>
  <w:abstractNum w:abstractNumId="26"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AB02FE"/>
    <w:multiLevelType w:val="hybridMultilevel"/>
    <w:tmpl w:val="0B7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334A0"/>
    <w:multiLevelType w:val="hybridMultilevel"/>
    <w:tmpl w:val="576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488549">
    <w:abstractNumId w:val="23"/>
  </w:num>
  <w:num w:numId="2" w16cid:durableId="368382431">
    <w:abstractNumId w:val="16"/>
  </w:num>
  <w:num w:numId="3" w16cid:durableId="825635346">
    <w:abstractNumId w:val="24"/>
  </w:num>
  <w:num w:numId="4" w16cid:durableId="2022581055">
    <w:abstractNumId w:val="25"/>
  </w:num>
  <w:num w:numId="5" w16cid:durableId="678122393">
    <w:abstractNumId w:val="0"/>
    <w:lvlOverride w:ilvl="0">
      <w:lvl w:ilvl="0">
        <w:numFmt w:val="bullet"/>
        <w:lvlText w:val=""/>
        <w:legacy w:legacy="1" w:legacySpace="0" w:legacyIndent="360"/>
        <w:lvlJc w:val="left"/>
        <w:rPr>
          <w:rFonts w:ascii="Symbol" w:hAnsi="Symbol" w:hint="default"/>
        </w:rPr>
      </w:lvl>
    </w:lvlOverride>
  </w:num>
  <w:num w:numId="6" w16cid:durableId="1080907117">
    <w:abstractNumId w:val="5"/>
  </w:num>
  <w:num w:numId="7" w16cid:durableId="1844661374">
    <w:abstractNumId w:val="10"/>
  </w:num>
  <w:num w:numId="8" w16cid:durableId="750615117">
    <w:abstractNumId w:val="14"/>
  </w:num>
  <w:num w:numId="9" w16cid:durableId="1081489990">
    <w:abstractNumId w:val="4"/>
  </w:num>
  <w:num w:numId="10" w16cid:durableId="445124178">
    <w:abstractNumId w:val="6"/>
  </w:num>
  <w:num w:numId="11" w16cid:durableId="1183322120">
    <w:abstractNumId w:val="21"/>
  </w:num>
  <w:num w:numId="12" w16cid:durableId="2024935536">
    <w:abstractNumId w:val="26"/>
  </w:num>
  <w:num w:numId="13" w16cid:durableId="1982147073">
    <w:abstractNumId w:val="28"/>
  </w:num>
  <w:num w:numId="14" w16cid:durableId="1315454159">
    <w:abstractNumId w:val="2"/>
  </w:num>
  <w:num w:numId="15" w16cid:durableId="225184419">
    <w:abstractNumId w:val="3"/>
  </w:num>
  <w:num w:numId="16" w16cid:durableId="1862090556">
    <w:abstractNumId w:val="15"/>
  </w:num>
  <w:num w:numId="17" w16cid:durableId="484593986">
    <w:abstractNumId w:val="12"/>
  </w:num>
  <w:num w:numId="18" w16cid:durableId="653871162">
    <w:abstractNumId w:val="18"/>
  </w:num>
  <w:num w:numId="19" w16cid:durableId="1615092187">
    <w:abstractNumId w:val="29"/>
  </w:num>
  <w:num w:numId="20" w16cid:durableId="50345426">
    <w:abstractNumId w:val="9"/>
  </w:num>
  <w:num w:numId="21" w16cid:durableId="2068604545">
    <w:abstractNumId w:val="22"/>
  </w:num>
  <w:num w:numId="22" w16cid:durableId="17700116">
    <w:abstractNumId w:val="11"/>
  </w:num>
  <w:num w:numId="23" w16cid:durableId="1054891335">
    <w:abstractNumId w:val="13"/>
  </w:num>
  <w:num w:numId="24" w16cid:durableId="754133743">
    <w:abstractNumId w:val="20"/>
  </w:num>
  <w:num w:numId="25" w16cid:durableId="948512741">
    <w:abstractNumId w:val="27"/>
  </w:num>
  <w:num w:numId="26" w16cid:durableId="1251350483">
    <w:abstractNumId w:val="7"/>
  </w:num>
  <w:num w:numId="27" w16cid:durableId="1087267733">
    <w:abstractNumId w:val="17"/>
  </w:num>
  <w:num w:numId="28" w16cid:durableId="243229501">
    <w:abstractNumId w:val="8"/>
  </w:num>
  <w:num w:numId="29" w16cid:durableId="653754298">
    <w:abstractNumId w:val="19"/>
  </w:num>
  <w:num w:numId="30" w16cid:durableId="255098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234C3"/>
    <w:rsid w:val="00036F6E"/>
    <w:rsid w:val="000661FA"/>
    <w:rsid w:val="00085EE6"/>
    <w:rsid w:val="000B69AE"/>
    <w:rsid w:val="000C11D5"/>
    <w:rsid w:val="000D517E"/>
    <w:rsid w:val="00105806"/>
    <w:rsid w:val="00133097"/>
    <w:rsid w:val="00133617"/>
    <w:rsid w:val="001508D8"/>
    <w:rsid w:val="0015265C"/>
    <w:rsid w:val="0015378E"/>
    <w:rsid w:val="00153EFD"/>
    <w:rsid w:val="00161C30"/>
    <w:rsid w:val="00177F88"/>
    <w:rsid w:val="00181FCD"/>
    <w:rsid w:val="001B3CF2"/>
    <w:rsid w:val="001C0C73"/>
    <w:rsid w:val="001C62FC"/>
    <w:rsid w:val="001D507B"/>
    <w:rsid w:val="001E4473"/>
    <w:rsid w:val="00245AE8"/>
    <w:rsid w:val="00273720"/>
    <w:rsid w:val="00292558"/>
    <w:rsid w:val="002A6252"/>
    <w:rsid w:val="002B7C39"/>
    <w:rsid w:val="002C5FAF"/>
    <w:rsid w:val="002F6EF8"/>
    <w:rsid w:val="0030663F"/>
    <w:rsid w:val="00347600"/>
    <w:rsid w:val="00350F23"/>
    <w:rsid w:val="003A342E"/>
    <w:rsid w:val="003B6BC8"/>
    <w:rsid w:val="003E45C2"/>
    <w:rsid w:val="003F49E9"/>
    <w:rsid w:val="0042353B"/>
    <w:rsid w:val="004411F0"/>
    <w:rsid w:val="00446706"/>
    <w:rsid w:val="004575C5"/>
    <w:rsid w:val="004924C0"/>
    <w:rsid w:val="004947AA"/>
    <w:rsid w:val="00496A3C"/>
    <w:rsid w:val="004F5FFE"/>
    <w:rsid w:val="005317F3"/>
    <w:rsid w:val="00555B03"/>
    <w:rsid w:val="0056650E"/>
    <w:rsid w:val="0058094B"/>
    <w:rsid w:val="00604B1A"/>
    <w:rsid w:val="00660266"/>
    <w:rsid w:val="006B676C"/>
    <w:rsid w:val="006D25A3"/>
    <w:rsid w:val="00700D41"/>
    <w:rsid w:val="00750DF3"/>
    <w:rsid w:val="00787A3E"/>
    <w:rsid w:val="007B0871"/>
    <w:rsid w:val="007B2414"/>
    <w:rsid w:val="007F2382"/>
    <w:rsid w:val="0084514B"/>
    <w:rsid w:val="008644E6"/>
    <w:rsid w:val="0087509A"/>
    <w:rsid w:val="00875D96"/>
    <w:rsid w:val="00892B31"/>
    <w:rsid w:val="008A294F"/>
    <w:rsid w:val="008C6389"/>
    <w:rsid w:val="008F6F1C"/>
    <w:rsid w:val="00935D22"/>
    <w:rsid w:val="00954D76"/>
    <w:rsid w:val="00960D28"/>
    <w:rsid w:val="009F4FA5"/>
    <w:rsid w:val="00A17C84"/>
    <w:rsid w:val="00A57465"/>
    <w:rsid w:val="00A7578A"/>
    <w:rsid w:val="00A96B67"/>
    <w:rsid w:val="00AA2A14"/>
    <w:rsid w:val="00AB085B"/>
    <w:rsid w:val="00B17200"/>
    <w:rsid w:val="00B21173"/>
    <w:rsid w:val="00B267BA"/>
    <w:rsid w:val="00B34B86"/>
    <w:rsid w:val="00B4162E"/>
    <w:rsid w:val="00B51645"/>
    <w:rsid w:val="00B52BCB"/>
    <w:rsid w:val="00B87BE8"/>
    <w:rsid w:val="00BA541F"/>
    <w:rsid w:val="00BC65F1"/>
    <w:rsid w:val="00BE4E4B"/>
    <w:rsid w:val="00C20438"/>
    <w:rsid w:val="00C21A04"/>
    <w:rsid w:val="00C244E7"/>
    <w:rsid w:val="00C31984"/>
    <w:rsid w:val="00C3713D"/>
    <w:rsid w:val="00C410C2"/>
    <w:rsid w:val="00C56038"/>
    <w:rsid w:val="00C749F2"/>
    <w:rsid w:val="00CA4C22"/>
    <w:rsid w:val="00D0163B"/>
    <w:rsid w:val="00D42490"/>
    <w:rsid w:val="00D60165"/>
    <w:rsid w:val="00D7667B"/>
    <w:rsid w:val="00DB210C"/>
    <w:rsid w:val="00DF6EA5"/>
    <w:rsid w:val="00E008A1"/>
    <w:rsid w:val="00E043EA"/>
    <w:rsid w:val="00E119A0"/>
    <w:rsid w:val="00EA2FB2"/>
    <w:rsid w:val="00EA794E"/>
    <w:rsid w:val="00EC1121"/>
    <w:rsid w:val="00EC559F"/>
    <w:rsid w:val="00EC572F"/>
    <w:rsid w:val="00EE2569"/>
    <w:rsid w:val="00F0102A"/>
    <w:rsid w:val="00F141A6"/>
    <w:rsid w:val="00F401B4"/>
    <w:rsid w:val="00F64BDF"/>
    <w:rsid w:val="01E66F72"/>
    <w:rsid w:val="08D4119B"/>
    <w:rsid w:val="0BC53B4A"/>
    <w:rsid w:val="14B02325"/>
    <w:rsid w:val="1775FBC3"/>
    <w:rsid w:val="27CBABB0"/>
    <w:rsid w:val="35AFF6D2"/>
    <w:rsid w:val="3B2F2B17"/>
    <w:rsid w:val="4EBCF203"/>
    <w:rsid w:val="57E57CEF"/>
    <w:rsid w:val="5EDF6DFF"/>
    <w:rsid w:val="5FD8CC57"/>
    <w:rsid w:val="5FEDC7F0"/>
    <w:rsid w:val="6866EEDD"/>
    <w:rsid w:val="708AD3B3"/>
    <w:rsid w:val="7128AB72"/>
    <w:rsid w:val="79A29796"/>
    <w:rsid w:val="79C90A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1380B505-C173-1C47-81D9-A4671CE9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1"/>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styleId="NoSpacing">
    <w:name w:val="No Spacing"/>
    <w:uiPriority w:val="1"/>
    <w:qFormat/>
    <w:rsid w:val="00EA2FB2"/>
    <w:pPr>
      <w:spacing w:after="0" w:line="240" w:lineRule="auto"/>
    </w:pPr>
    <w:rPr>
      <w:rFonts w:ascii="Arial" w:hAnsi="Arial"/>
      <w:sz w:val="24"/>
    </w:rPr>
  </w:style>
  <w:style w:type="paragraph" w:styleId="PlainText">
    <w:name w:val="Plain Text"/>
    <w:basedOn w:val="Normal"/>
    <w:link w:val="PlainTextChar"/>
    <w:rsid w:val="006D25A3"/>
    <w:pPr>
      <w:spacing w:after="36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D25A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4111">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06551">
      <w:bodyDiv w:val="1"/>
      <w:marLeft w:val="0"/>
      <w:marRight w:val="0"/>
      <w:marTop w:val="0"/>
      <w:marBottom w:val="0"/>
      <w:divBdr>
        <w:top w:val="none" w:sz="0" w:space="0" w:color="auto"/>
        <w:left w:val="none" w:sz="0" w:space="0" w:color="auto"/>
        <w:bottom w:val="none" w:sz="0" w:space="0" w:color="auto"/>
        <w:right w:val="none" w:sz="0" w:space="0" w:color="auto"/>
      </w:divBdr>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2024-05-31T14:00:00+00:00</Reminder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73AEF-1B99-4349-ADFC-F8F16F022D9E}">
  <ds:schemaRefs>
    <ds:schemaRef ds:uri="http://schemas.openxmlformats.org/officeDocument/2006/bibliography"/>
  </ds:schemaRefs>
</ds:datastoreItem>
</file>

<file path=customXml/itemProps2.xml><?xml version="1.0" encoding="utf-8"?>
<ds:datastoreItem xmlns:ds="http://schemas.openxmlformats.org/officeDocument/2006/customXml" ds:itemID="{447F9836-F1FD-40D3-A479-09FBEE482E56}">
  <ds:schemaRefs>
    <ds:schemaRef ds:uri="http://schemas.microsoft.com/office/2006/metadata/properties"/>
    <ds:schemaRef ds:uri="http://schemas.microsoft.com/office/infopath/2007/PartnerControls"/>
    <ds:schemaRef ds:uri="b301ad80-1bfb-409b-a916-ff76a5ae5697"/>
  </ds:schemaRefs>
</ds:datastoreItem>
</file>

<file path=customXml/itemProps3.xml><?xml version="1.0" encoding="utf-8"?>
<ds:datastoreItem xmlns:ds="http://schemas.openxmlformats.org/officeDocument/2006/customXml" ds:itemID="{21A7D8B7-F8D4-479A-8C14-08804268FAAD}">
  <ds:schemaRefs>
    <ds:schemaRef ds:uri="http://schemas.microsoft.com/sharepoint/v3/contenttype/forms"/>
  </ds:schemaRefs>
</ds:datastoreItem>
</file>

<file path=customXml/itemProps4.xml><?xml version="1.0" encoding="utf-8"?>
<ds:datastoreItem xmlns:ds="http://schemas.openxmlformats.org/officeDocument/2006/customXml" ds:itemID="{D82946DE-3EF1-4DAC-8439-6DAD31F9E6C0}"/>
</file>

<file path=docProps/app.xml><?xml version="1.0" encoding="utf-8"?>
<Properties xmlns="http://schemas.openxmlformats.org/officeDocument/2006/extended-properties" xmlns:vt="http://schemas.openxmlformats.org/officeDocument/2006/docPropsVTypes">
  <Template>Normal.dotm</Template>
  <TotalTime>10</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6</cp:revision>
  <cp:lastPrinted>2015-04-21T02:31:00Z</cp:lastPrinted>
  <dcterms:created xsi:type="dcterms:W3CDTF">2019-12-01T03:56:00Z</dcterms:created>
  <dcterms:modified xsi:type="dcterms:W3CDTF">2022-06-26T07:17:00Z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